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44CAF" w14:textId="77777777" w:rsidR="006210CF" w:rsidRDefault="006210CF" w:rsidP="00CC159B">
      <w:pPr>
        <w:spacing w:after="0" w:line="240" w:lineRule="auto"/>
        <w:jc w:val="both"/>
        <w:rPr>
          <w:rFonts w:ascii="Garamond" w:hAnsi="Garamond" w:cs="Arial"/>
          <w:sz w:val="24"/>
          <w:szCs w:val="24"/>
        </w:rPr>
      </w:pPr>
    </w:p>
    <w:p w14:paraId="488E8FF1" w14:textId="77777777" w:rsidR="006210CF" w:rsidRDefault="006210CF" w:rsidP="00CC159B">
      <w:pPr>
        <w:spacing w:after="0" w:line="240" w:lineRule="auto"/>
        <w:jc w:val="both"/>
        <w:rPr>
          <w:rFonts w:ascii="Garamond" w:hAnsi="Garamond" w:cs="Arial"/>
          <w:sz w:val="24"/>
          <w:szCs w:val="24"/>
        </w:rPr>
      </w:pPr>
    </w:p>
    <w:p w14:paraId="2034FD80" w14:textId="77777777" w:rsidR="006210CF" w:rsidRDefault="006210CF" w:rsidP="00CC159B">
      <w:pPr>
        <w:spacing w:after="0" w:line="240" w:lineRule="auto"/>
        <w:jc w:val="both"/>
        <w:rPr>
          <w:rFonts w:ascii="Garamond" w:hAnsi="Garamond" w:cs="Arial"/>
          <w:sz w:val="24"/>
          <w:szCs w:val="24"/>
        </w:rPr>
      </w:pPr>
    </w:p>
    <w:p w14:paraId="31B0CFAD" w14:textId="77777777" w:rsidR="006210CF" w:rsidRPr="00F76B63" w:rsidRDefault="006210CF" w:rsidP="00CC159B">
      <w:pPr>
        <w:spacing w:after="0" w:line="276" w:lineRule="auto"/>
        <w:jc w:val="both"/>
        <w:rPr>
          <w:rFonts w:ascii="Garamond" w:hAnsi="Garamond" w:cs="Arial"/>
        </w:rPr>
      </w:pPr>
    </w:p>
    <w:p w14:paraId="671BF26B" w14:textId="77777777" w:rsidR="006210CF" w:rsidRPr="00F76B63" w:rsidRDefault="006210CF" w:rsidP="00CC159B">
      <w:pPr>
        <w:spacing w:after="0" w:line="276" w:lineRule="auto"/>
        <w:jc w:val="both"/>
        <w:rPr>
          <w:rFonts w:ascii="Garamond" w:hAnsi="Garamond" w:cs="Arial"/>
        </w:rPr>
      </w:pPr>
    </w:p>
    <w:p w14:paraId="362FD328" w14:textId="77777777" w:rsidR="006210CF" w:rsidRPr="00F76B63" w:rsidRDefault="006210CF" w:rsidP="00CC159B">
      <w:pPr>
        <w:spacing w:after="0" w:line="276" w:lineRule="auto"/>
        <w:jc w:val="both"/>
        <w:rPr>
          <w:rFonts w:ascii="Garamond" w:hAnsi="Garamond" w:cs="Arial"/>
          <w:b/>
        </w:rPr>
      </w:pPr>
    </w:p>
    <w:p w14:paraId="63C468AA" w14:textId="77777777" w:rsidR="006210CF" w:rsidRPr="00F76B63" w:rsidRDefault="006210CF" w:rsidP="00CC159B">
      <w:pPr>
        <w:spacing w:after="0" w:line="276" w:lineRule="auto"/>
        <w:jc w:val="both"/>
        <w:rPr>
          <w:rFonts w:ascii="Garamond" w:hAnsi="Garamond" w:cs="Arial"/>
          <w:b/>
        </w:rPr>
      </w:pPr>
    </w:p>
    <w:p w14:paraId="00F03860" w14:textId="77777777" w:rsidR="006210CF" w:rsidRPr="00F76B63" w:rsidRDefault="006210CF" w:rsidP="00CC159B">
      <w:pPr>
        <w:spacing w:line="276" w:lineRule="auto"/>
        <w:jc w:val="both"/>
        <w:rPr>
          <w:rFonts w:ascii="Garamond" w:hAnsi="Garamond" w:cs="Arial"/>
          <w:b/>
        </w:rPr>
      </w:pPr>
      <w:r w:rsidRPr="00F76B63">
        <w:rPr>
          <w:rFonts w:ascii="Garamond" w:hAnsi="Garamond" w:cs="Arial"/>
          <w:b/>
        </w:rPr>
        <w:t>SECRETARÍA DISTRITAL DE GOBIERNO</w:t>
      </w:r>
    </w:p>
    <w:p w14:paraId="1AAF5C98" w14:textId="77777777" w:rsidR="006210CF" w:rsidRPr="00F76B63" w:rsidRDefault="006210CF" w:rsidP="00CC159B">
      <w:pPr>
        <w:spacing w:line="276" w:lineRule="auto"/>
        <w:jc w:val="both"/>
        <w:rPr>
          <w:rFonts w:ascii="Garamond" w:hAnsi="Garamond" w:cs="Arial"/>
          <w:b/>
        </w:rPr>
      </w:pPr>
      <w:r w:rsidRPr="00F76B63">
        <w:rPr>
          <w:rFonts w:ascii="Garamond" w:hAnsi="Garamond" w:cs="Arial"/>
          <w:b/>
        </w:rPr>
        <w:t xml:space="preserve">OFICINA ASESORA DE PLANEACIÓN </w:t>
      </w:r>
    </w:p>
    <w:p w14:paraId="54800305" w14:textId="77777777" w:rsidR="006210CF" w:rsidRPr="00F76B63" w:rsidRDefault="006210CF" w:rsidP="00CC159B">
      <w:pPr>
        <w:tabs>
          <w:tab w:val="left" w:pos="1155"/>
        </w:tabs>
        <w:spacing w:line="276" w:lineRule="auto"/>
        <w:jc w:val="both"/>
        <w:rPr>
          <w:rFonts w:ascii="Garamond" w:hAnsi="Garamond" w:cs="Arial"/>
        </w:rPr>
      </w:pPr>
      <w:r w:rsidRPr="00F76B63">
        <w:rPr>
          <w:rFonts w:ascii="Garamond" w:hAnsi="Garamond" w:cs="Arial"/>
        </w:rPr>
        <w:tab/>
      </w:r>
    </w:p>
    <w:p w14:paraId="4E00A6F4" w14:textId="77777777" w:rsidR="006210CF" w:rsidRDefault="006210CF" w:rsidP="00CC159B">
      <w:pPr>
        <w:spacing w:line="276" w:lineRule="auto"/>
        <w:jc w:val="both"/>
        <w:rPr>
          <w:rFonts w:ascii="Garamond" w:hAnsi="Garamond" w:cs="Arial"/>
        </w:rPr>
      </w:pPr>
    </w:p>
    <w:p w14:paraId="2D3E5A3C" w14:textId="77777777" w:rsidR="006210CF" w:rsidRDefault="006210CF" w:rsidP="00CC159B">
      <w:pPr>
        <w:spacing w:line="276" w:lineRule="auto"/>
        <w:jc w:val="both"/>
        <w:rPr>
          <w:rFonts w:ascii="Garamond" w:hAnsi="Garamond" w:cs="Arial"/>
        </w:rPr>
      </w:pPr>
    </w:p>
    <w:p w14:paraId="4C188B5C" w14:textId="77777777" w:rsidR="006210CF" w:rsidRDefault="006210CF" w:rsidP="00CC159B">
      <w:pPr>
        <w:spacing w:line="276" w:lineRule="auto"/>
        <w:jc w:val="both"/>
        <w:rPr>
          <w:rFonts w:ascii="Garamond" w:hAnsi="Garamond" w:cs="Arial"/>
        </w:rPr>
      </w:pPr>
    </w:p>
    <w:p w14:paraId="64A720E9" w14:textId="77777777" w:rsidR="006210CF" w:rsidRDefault="006210CF" w:rsidP="00CC159B">
      <w:pPr>
        <w:spacing w:line="276" w:lineRule="auto"/>
        <w:jc w:val="both"/>
        <w:rPr>
          <w:rFonts w:ascii="Garamond" w:hAnsi="Garamond" w:cs="Arial"/>
        </w:rPr>
      </w:pPr>
    </w:p>
    <w:p w14:paraId="0A11AF6B" w14:textId="77777777" w:rsidR="006210CF" w:rsidRDefault="006210CF" w:rsidP="00CC159B">
      <w:pPr>
        <w:spacing w:line="276" w:lineRule="auto"/>
        <w:jc w:val="both"/>
        <w:rPr>
          <w:rFonts w:ascii="Garamond" w:hAnsi="Garamond" w:cs="Arial"/>
        </w:rPr>
      </w:pPr>
    </w:p>
    <w:p w14:paraId="63834801" w14:textId="77777777" w:rsidR="006210CF" w:rsidRDefault="006210CF" w:rsidP="00CC159B">
      <w:pPr>
        <w:spacing w:line="276" w:lineRule="auto"/>
        <w:jc w:val="both"/>
        <w:rPr>
          <w:rFonts w:ascii="Garamond" w:hAnsi="Garamond" w:cs="Arial"/>
        </w:rPr>
      </w:pPr>
    </w:p>
    <w:p w14:paraId="2CDF9C78" w14:textId="681BF152" w:rsidR="006210CF" w:rsidRPr="00F76B63" w:rsidRDefault="006210CF" w:rsidP="00CC159B">
      <w:pPr>
        <w:spacing w:line="276" w:lineRule="auto"/>
        <w:jc w:val="both"/>
        <w:rPr>
          <w:rFonts w:ascii="Garamond" w:hAnsi="Garamond" w:cs="Arial"/>
        </w:rPr>
      </w:pPr>
      <w:r w:rsidRPr="006210CF">
        <w:rPr>
          <w:rFonts w:ascii="Garamond" w:hAnsi="Garamond" w:cs="Arial"/>
        </w:rPr>
        <w:t>INFORME DEL ESTADO DE LAS POLÍTICAS PÚBLICAS DEL SECTOR GOBIERNO</w:t>
      </w:r>
    </w:p>
    <w:p w14:paraId="19827333" w14:textId="77777777" w:rsidR="006210CF" w:rsidRPr="00F76B63" w:rsidRDefault="006210CF" w:rsidP="00CC159B">
      <w:pPr>
        <w:spacing w:line="276" w:lineRule="auto"/>
        <w:jc w:val="both"/>
        <w:rPr>
          <w:rFonts w:ascii="Garamond" w:hAnsi="Garamond" w:cs="Arial"/>
        </w:rPr>
      </w:pPr>
    </w:p>
    <w:p w14:paraId="3C8A2992" w14:textId="77777777" w:rsidR="006210CF" w:rsidRDefault="006210CF" w:rsidP="00CC159B">
      <w:pPr>
        <w:spacing w:line="276" w:lineRule="auto"/>
        <w:jc w:val="both"/>
        <w:rPr>
          <w:rFonts w:ascii="Garamond" w:hAnsi="Garamond" w:cs="Arial"/>
        </w:rPr>
      </w:pPr>
    </w:p>
    <w:p w14:paraId="7AA67856" w14:textId="77777777" w:rsidR="006210CF" w:rsidRDefault="006210CF" w:rsidP="00CC159B">
      <w:pPr>
        <w:spacing w:line="276" w:lineRule="auto"/>
        <w:jc w:val="both"/>
        <w:rPr>
          <w:rFonts w:ascii="Garamond" w:hAnsi="Garamond" w:cs="Arial"/>
        </w:rPr>
      </w:pPr>
    </w:p>
    <w:p w14:paraId="5F637872" w14:textId="77777777" w:rsidR="006210CF" w:rsidRPr="00F76B63" w:rsidRDefault="006210CF" w:rsidP="00CC159B">
      <w:pPr>
        <w:spacing w:line="276" w:lineRule="auto"/>
        <w:jc w:val="both"/>
        <w:rPr>
          <w:rFonts w:ascii="Garamond" w:hAnsi="Garamond" w:cs="Arial"/>
        </w:rPr>
      </w:pPr>
    </w:p>
    <w:p w14:paraId="1B6988CD" w14:textId="77777777" w:rsidR="006210CF" w:rsidRPr="00F76B63" w:rsidRDefault="006210CF" w:rsidP="00CC159B">
      <w:pPr>
        <w:spacing w:line="276" w:lineRule="auto"/>
        <w:jc w:val="both"/>
        <w:rPr>
          <w:rFonts w:ascii="Garamond" w:hAnsi="Garamond" w:cs="Arial"/>
        </w:rPr>
      </w:pPr>
    </w:p>
    <w:p w14:paraId="3AB1F43E" w14:textId="77777777" w:rsidR="006210CF" w:rsidRPr="00F76B63" w:rsidRDefault="006210CF" w:rsidP="00CC159B">
      <w:pPr>
        <w:spacing w:line="276" w:lineRule="auto"/>
        <w:jc w:val="both"/>
        <w:rPr>
          <w:rFonts w:ascii="Garamond" w:hAnsi="Garamond" w:cs="Arial"/>
        </w:rPr>
      </w:pPr>
    </w:p>
    <w:p w14:paraId="2CB9E921" w14:textId="5EA46412" w:rsidR="006210CF" w:rsidRDefault="006210CF" w:rsidP="00CC159B">
      <w:pPr>
        <w:spacing w:line="276" w:lineRule="auto"/>
        <w:jc w:val="both"/>
        <w:rPr>
          <w:rFonts w:ascii="Times New Roman" w:eastAsia="Times New Roman" w:hAnsi="Times New Roman" w:cs="Times New Roman"/>
          <w:b/>
          <w:color w:val="0070C0"/>
          <w:sz w:val="28"/>
          <w:lang w:eastAsia="es-CO"/>
        </w:rPr>
      </w:pPr>
      <w:r w:rsidRPr="00F76B63">
        <w:rPr>
          <w:rFonts w:ascii="Garamond" w:hAnsi="Garamond" w:cs="Arial"/>
          <w:b/>
        </w:rPr>
        <w:t xml:space="preserve">Bogotá, </w:t>
      </w:r>
      <w:r w:rsidR="007C2452">
        <w:rPr>
          <w:rFonts w:ascii="Garamond" w:hAnsi="Garamond" w:cs="Arial"/>
          <w:b/>
        </w:rPr>
        <w:t>a</w:t>
      </w:r>
      <w:r w:rsidR="00135E3B">
        <w:rPr>
          <w:rFonts w:ascii="Garamond" w:hAnsi="Garamond" w:cs="Arial"/>
          <w:b/>
        </w:rPr>
        <w:t>gosto</w:t>
      </w:r>
      <w:r w:rsidRPr="00F76B63">
        <w:rPr>
          <w:rFonts w:ascii="Garamond" w:hAnsi="Garamond" w:cs="Arial"/>
          <w:b/>
        </w:rPr>
        <w:t xml:space="preserve"> d</w:t>
      </w:r>
      <w:r w:rsidR="00D1632E">
        <w:rPr>
          <w:rFonts w:ascii="Garamond" w:hAnsi="Garamond" w:cs="Arial"/>
          <w:b/>
        </w:rPr>
        <w:t>e</w:t>
      </w:r>
      <w:r w:rsidR="00135E3B">
        <w:rPr>
          <w:rFonts w:ascii="Garamond" w:hAnsi="Garamond" w:cs="Arial"/>
          <w:b/>
        </w:rPr>
        <w:t xml:space="preserve"> 2020</w:t>
      </w:r>
    </w:p>
    <w:p w14:paraId="7331740C"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4B3DE120"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1FF270B4"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32DA6855"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7FE14E88"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018EA674"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58946B1C"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50DDE923" w14:textId="77777777" w:rsidR="006210CF" w:rsidRDefault="006210CF" w:rsidP="00CC159B">
      <w:pPr>
        <w:spacing w:after="0" w:line="276" w:lineRule="auto"/>
        <w:jc w:val="both"/>
        <w:rPr>
          <w:rFonts w:ascii="Times New Roman" w:eastAsia="Times New Roman" w:hAnsi="Times New Roman" w:cs="Times New Roman"/>
          <w:b/>
          <w:color w:val="0070C0"/>
          <w:sz w:val="28"/>
          <w:lang w:eastAsia="es-CO"/>
        </w:rPr>
      </w:pPr>
    </w:p>
    <w:p w14:paraId="4CC90808" w14:textId="77777777" w:rsidR="003F441B" w:rsidRDefault="003F441B" w:rsidP="00CC159B">
      <w:pPr>
        <w:spacing w:after="0" w:line="276" w:lineRule="auto"/>
        <w:jc w:val="both"/>
        <w:rPr>
          <w:rFonts w:ascii="Times New Roman" w:eastAsia="Times New Roman" w:hAnsi="Times New Roman" w:cs="Times New Roman"/>
          <w:b/>
          <w:color w:val="000000"/>
          <w:lang w:eastAsia="es-CO"/>
        </w:rPr>
      </w:pPr>
    </w:p>
    <w:p w14:paraId="41A9FEFF" w14:textId="7E5FFD91" w:rsidR="000F7900" w:rsidRPr="00885885" w:rsidRDefault="008960B4" w:rsidP="00CC159B">
      <w:pPr>
        <w:spacing w:after="0" w:line="276" w:lineRule="auto"/>
        <w:jc w:val="both"/>
        <w:rPr>
          <w:rFonts w:ascii="Times New Roman" w:eastAsia="Times New Roman" w:hAnsi="Times New Roman" w:cs="Times New Roman"/>
          <w:b/>
          <w:color w:val="000000"/>
          <w:lang w:eastAsia="es-CO"/>
        </w:rPr>
      </w:pPr>
      <w:r>
        <w:rPr>
          <w:rFonts w:ascii="Times New Roman" w:eastAsia="Times New Roman" w:hAnsi="Times New Roman" w:cs="Times New Roman"/>
          <w:b/>
          <w:sz w:val="24"/>
          <w:lang w:eastAsia="es-CO"/>
        </w:rPr>
        <w:lastRenderedPageBreak/>
        <w:t>Introducción</w:t>
      </w:r>
    </w:p>
    <w:p w14:paraId="39B220EC" w14:textId="77777777" w:rsidR="008960B4" w:rsidRDefault="008960B4" w:rsidP="00CC159B">
      <w:pPr>
        <w:spacing w:after="0" w:line="276" w:lineRule="auto"/>
        <w:jc w:val="both"/>
        <w:rPr>
          <w:rFonts w:ascii="Times New Roman" w:eastAsia="Times New Roman" w:hAnsi="Times New Roman" w:cs="Times New Roman"/>
          <w:color w:val="000000"/>
          <w:lang w:eastAsia="es-CO"/>
        </w:rPr>
      </w:pPr>
    </w:p>
    <w:p w14:paraId="31A85D12" w14:textId="0F3A3D2C" w:rsidR="00F97AE4" w:rsidRDefault="00F97AE4" w:rsidP="00CC159B">
      <w:pPr>
        <w:spacing w:after="0" w:line="276"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Con el fin de contar con un </w:t>
      </w:r>
      <w:r w:rsidR="00D34A02">
        <w:rPr>
          <w:rFonts w:ascii="Times New Roman" w:eastAsia="Times New Roman" w:hAnsi="Times New Roman" w:cs="Times New Roman"/>
          <w:color w:val="000000"/>
          <w:lang w:eastAsia="es-CO"/>
        </w:rPr>
        <w:t>balance</w:t>
      </w:r>
      <w:r>
        <w:rPr>
          <w:rFonts w:ascii="Times New Roman" w:eastAsia="Times New Roman" w:hAnsi="Times New Roman" w:cs="Times New Roman"/>
          <w:color w:val="000000"/>
          <w:lang w:eastAsia="es-CO"/>
        </w:rPr>
        <w:t xml:space="preserve"> general de la gestión que ha realizado la Secretaría Distrital de Gobierno -SDG de las políticas públicas a cargo del Sector, este documento se estructura de la siguiente manera: la primera parte es un contexto normativo, una segunda describe el avance de cada una de las políticas públicas </w:t>
      </w:r>
      <w:r w:rsidR="00D34A02">
        <w:rPr>
          <w:rFonts w:ascii="Times New Roman" w:eastAsia="Times New Roman" w:hAnsi="Times New Roman" w:cs="Times New Roman"/>
          <w:color w:val="000000"/>
          <w:lang w:eastAsia="es-CO"/>
        </w:rPr>
        <w:t>en lo corrido de la vigencia 2020</w:t>
      </w:r>
      <w:r>
        <w:rPr>
          <w:rFonts w:ascii="Times New Roman" w:eastAsia="Times New Roman" w:hAnsi="Times New Roman" w:cs="Times New Roman"/>
          <w:color w:val="000000"/>
          <w:lang w:eastAsia="es-CO"/>
        </w:rPr>
        <w:t xml:space="preserve"> y la tercera parte unas conclusiones y un cuadro resumen de</w:t>
      </w:r>
      <w:r w:rsidR="00D34A02">
        <w:rPr>
          <w:rFonts w:ascii="Times New Roman" w:eastAsia="Times New Roman" w:hAnsi="Times New Roman" w:cs="Times New Roman"/>
          <w:color w:val="000000"/>
          <w:lang w:eastAsia="es-CO"/>
        </w:rPr>
        <w:t xml:space="preserve">l estado de las políticas. </w:t>
      </w:r>
    </w:p>
    <w:p w14:paraId="34157AAD" w14:textId="77777777" w:rsidR="003F441B" w:rsidRDefault="003F441B" w:rsidP="00CC159B">
      <w:pPr>
        <w:spacing w:after="0" w:line="276" w:lineRule="auto"/>
        <w:jc w:val="both"/>
        <w:rPr>
          <w:rFonts w:ascii="Times New Roman" w:eastAsia="Times New Roman" w:hAnsi="Times New Roman" w:cs="Times New Roman"/>
          <w:color w:val="000000"/>
          <w:lang w:eastAsia="es-CO"/>
        </w:rPr>
      </w:pPr>
    </w:p>
    <w:p w14:paraId="23074C9D" w14:textId="77777777" w:rsidR="00F97AE4" w:rsidRDefault="00F97AE4" w:rsidP="00CC159B">
      <w:pPr>
        <w:spacing w:after="0" w:line="276" w:lineRule="auto"/>
        <w:jc w:val="both"/>
        <w:rPr>
          <w:rFonts w:ascii="Times New Roman" w:eastAsia="Times New Roman" w:hAnsi="Times New Roman" w:cs="Times New Roman"/>
          <w:color w:val="000000"/>
          <w:lang w:eastAsia="es-CO"/>
        </w:rPr>
      </w:pPr>
    </w:p>
    <w:p w14:paraId="6A12EB0A" w14:textId="17D30263" w:rsidR="00F97AE4" w:rsidRPr="00A12D92" w:rsidRDefault="00F97AE4" w:rsidP="00CC159B">
      <w:pPr>
        <w:spacing w:after="0" w:line="276" w:lineRule="auto"/>
        <w:jc w:val="both"/>
        <w:rPr>
          <w:rFonts w:ascii="Times New Roman" w:eastAsia="Times New Roman" w:hAnsi="Times New Roman" w:cs="Times New Roman"/>
          <w:b/>
          <w:sz w:val="24"/>
          <w:lang w:eastAsia="es-CO"/>
        </w:rPr>
      </w:pPr>
      <w:r w:rsidRPr="00A12D92">
        <w:rPr>
          <w:rFonts w:ascii="Times New Roman" w:eastAsia="Times New Roman" w:hAnsi="Times New Roman" w:cs="Times New Roman"/>
          <w:b/>
          <w:sz w:val="24"/>
          <w:lang w:eastAsia="es-CO"/>
        </w:rPr>
        <w:t>Contexto Normativo</w:t>
      </w:r>
    </w:p>
    <w:p w14:paraId="72CFCDD3" w14:textId="77777777" w:rsidR="00F97AE4" w:rsidRDefault="00F97AE4" w:rsidP="00CC159B">
      <w:pPr>
        <w:spacing w:after="0" w:line="276" w:lineRule="auto"/>
        <w:jc w:val="both"/>
        <w:rPr>
          <w:rFonts w:ascii="Times New Roman" w:eastAsia="Times New Roman" w:hAnsi="Times New Roman" w:cs="Times New Roman"/>
          <w:color w:val="000000"/>
          <w:lang w:eastAsia="es-CO"/>
        </w:rPr>
      </w:pPr>
    </w:p>
    <w:p w14:paraId="291806C6" w14:textId="59EF7940" w:rsidR="00F97AE4" w:rsidRPr="00885885" w:rsidRDefault="00F97AE4" w:rsidP="00CC159B">
      <w:pPr>
        <w:spacing w:after="0" w:line="276"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La Administración Distrital en propósito de generar un cambio metodológico</w:t>
      </w:r>
      <w:r w:rsidRPr="00885885">
        <w:rPr>
          <w:rFonts w:ascii="Times New Roman" w:eastAsia="Times New Roman" w:hAnsi="Times New Roman" w:cs="Times New Roman"/>
          <w:color w:val="000000"/>
          <w:lang w:eastAsia="es-CO"/>
        </w:rPr>
        <w:t xml:space="preserve"> para las entidades que consideren necesario la formulación de </w:t>
      </w:r>
      <w:r>
        <w:rPr>
          <w:rFonts w:ascii="Times New Roman" w:eastAsia="Times New Roman" w:hAnsi="Times New Roman" w:cs="Times New Roman"/>
          <w:color w:val="000000"/>
          <w:lang w:eastAsia="es-CO"/>
        </w:rPr>
        <w:t>políticas públicas en el Distrito, en</w:t>
      </w:r>
      <w:r w:rsidRPr="00885885">
        <w:rPr>
          <w:rFonts w:ascii="Times New Roman" w:eastAsia="Times New Roman" w:hAnsi="Times New Roman" w:cs="Times New Roman"/>
          <w:color w:val="000000"/>
          <w:lang w:eastAsia="es-CO"/>
        </w:rPr>
        <w:t xml:space="preserve"> </w:t>
      </w:r>
      <w:r>
        <w:rPr>
          <w:rFonts w:ascii="Times New Roman" w:eastAsia="Times New Roman" w:hAnsi="Times New Roman" w:cs="Times New Roman"/>
          <w:color w:val="000000"/>
          <w:lang w:eastAsia="es-CO"/>
        </w:rPr>
        <w:t xml:space="preserve">el </w:t>
      </w:r>
      <w:r w:rsidRPr="00885885">
        <w:rPr>
          <w:rFonts w:ascii="Times New Roman" w:eastAsia="Times New Roman" w:hAnsi="Times New Roman" w:cs="Times New Roman"/>
          <w:color w:val="000000"/>
          <w:lang w:eastAsia="es-CO"/>
        </w:rPr>
        <w:t xml:space="preserve">año </w:t>
      </w:r>
      <w:r>
        <w:rPr>
          <w:rFonts w:ascii="Times New Roman" w:eastAsia="Times New Roman" w:hAnsi="Times New Roman" w:cs="Times New Roman"/>
          <w:color w:val="000000"/>
          <w:lang w:eastAsia="es-CO"/>
        </w:rPr>
        <w:t>2017 a través del D</w:t>
      </w:r>
      <w:r w:rsidRPr="00885885">
        <w:rPr>
          <w:rFonts w:ascii="Times New Roman" w:eastAsia="Times New Roman" w:hAnsi="Times New Roman" w:cs="Times New Roman"/>
          <w:color w:val="000000"/>
          <w:lang w:eastAsia="es-CO"/>
        </w:rPr>
        <w:t>ecreto 668 se reglamenta los artículos 127 y 128 del</w:t>
      </w:r>
      <w:r>
        <w:rPr>
          <w:rFonts w:ascii="Times New Roman" w:eastAsia="Times New Roman" w:hAnsi="Times New Roman" w:cs="Times New Roman"/>
          <w:color w:val="000000"/>
          <w:lang w:eastAsia="es-CO"/>
        </w:rPr>
        <w:t xml:space="preserve"> Plan Distrital de Desarrollo</w:t>
      </w:r>
      <w:r w:rsidRPr="00885885">
        <w:rPr>
          <w:rFonts w:ascii="Times New Roman" w:eastAsia="Times New Roman" w:hAnsi="Times New Roman" w:cs="Times New Roman"/>
          <w:color w:val="000000"/>
          <w:lang w:eastAsia="es-CO"/>
        </w:rPr>
        <w:t xml:space="preserve"> </w:t>
      </w:r>
      <w:r>
        <w:rPr>
          <w:rFonts w:ascii="Times New Roman" w:eastAsia="Times New Roman" w:hAnsi="Times New Roman" w:cs="Times New Roman"/>
          <w:color w:val="000000"/>
          <w:lang w:eastAsia="es-CO"/>
        </w:rPr>
        <w:t>definiendo</w:t>
      </w:r>
      <w:r w:rsidRPr="00885885">
        <w:rPr>
          <w:rFonts w:ascii="Times New Roman" w:eastAsia="Times New Roman" w:hAnsi="Times New Roman" w:cs="Times New Roman"/>
          <w:color w:val="000000"/>
          <w:lang w:eastAsia="es-CO"/>
        </w:rPr>
        <w:t xml:space="preserve"> la responsabilidad del Consejo de Política Económica y Social del Distrito Capital </w:t>
      </w:r>
      <w:r>
        <w:rPr>
          <w:rFonts w:ascii="Times New Roman" w:eastAsia="Times New Roman" w:hAnsi="Times New Roman" w:cs="Times New Roman"/>
          <w:color w:val="000000"/>
          <w:lang w:eastAsia="es-CO"/>
        </w:rPr>
        <w:t xml:space="preserve">- </w:t>
      </w:r>
      <w:r w:rsidRPr="00885885">
        <w:rPr>
          <w:rFonts w:ascii="Times New Roman" w:eastAsia="Times New Roman" w:hAnsi="Times New Roman" w:cs="Times New Roman"/>
          <w:color w:val="000000"/>
          <w:lang w:eastAsia="es-CO"/>
        </w:rPr>
        <w:t>CONPES D.C</w:t>
      </w:r>
      <w:r>
        <w:rPr>
          <w:rFonts w:ascii="Times New Roman" w:eastAsia="Times New Roman" w:hAnsi="Times New Roman" w:cs="Times New Roman"/>
          <w:color w:val="000000"/>
          <w:lang w:eastAsia="es-CO"/>
        </w:rPr>
        <w:t>., para la articulación de</w:t>
      </w:r>
      <w:r w:rsidRPr="00885885">
        <w:rPr>
          <w:rFonts w:ascii="Times New Roman" w:eastAsia="Times New Roman" w:hAnsi="Times New Roman" w:cs="Times New Roman"/>
          <w:color w:val="000000"/>
          <w:lang w:eastAsia="es-CO"/>
        </w:rPr>
        <w:t xml:space="preserve"> la formulación, implementación y seguimiento de las políticas públicas. Así mismo, a través d</w:t>
      </w:r>
      <w:r>
        <w:rPr>
          <w:rFonts w:ascii="Times New Roman" w:eastAsia="Times New Roman" w:hAnsi="Times New Roman" w:cs="Times New Roman"/>
          <w:color w:val="000000"/>
          <w:lang w:eastAsia="es-CO"/>
        </w:rPr>
        <w:t>e la Resolución 2045 de 2017, la Secretaría</w:t>
      </w:r>
      <w:r w:rsidRPr="00885885">
        <w:rPr>
          <w:rFonts w:ascii="Times New Roman" w:eastAsia="Times New Roman" w:hAnsi="Times New Roman" w:cs="Times New Roman"/>
          <w:color w:val="000000"/>
          <w:lang w:eastAsia="es-CO"/>
        </w:rPr>
        <w:t xml:space="preserve"> Distrital de Planeación adopta la Guía para la Formulación e Implementación de Políticas Públicas del Distrito Capital y sus anexos, </w:t>
      </w:r>
      <w:r>
        <w:rPr>
          <w:rFonts w:ascii="Times New Roman" w:eastAsia="Times New Roman" w:hAnsi="Times New Roman" w:cs="Times New Roman"/>
          <w:color w:val="000000"/>
          <w:lang w:eastAsia="es-CO"/>
        </w:rPr>
        <w:t>derogando los</w:t>
      </w:r>
      <w:r w:rsidRPr="00885885">
        <w:rPr>
          <w:rFonts w:ascii="Times New Roman" w:eastAsia="Times New Roman" w:hAnsi="Times New Roman" w:cs="Times New Roman"/>
          <w:color w:val="000000"/>
          <w:lang w:eastAsia="es-CO"/>
        </w:rPr>
        <w:t xml:space="preserve"> Decreto</w:t>
      </w:r>
      <w:r>
        <w:rPr>
          <w:rFonts w:ascii="Times New Roman" w:eastAsia="Times New Roman" w:hAnsi="Times New Roman" w:cs="Times New Roman"/>
          <w:color w:val="000000"/>
          <w:lang w:eastAsia="es-CO"/>
        </w:rPr>
        <w:t>s</w:t>
      </w:r>
      <w:r w:rsidRPr="00885885">
        <w:rPr>
          <w:rFonts w:ascii="Times New Roman" w:eastAsia="Times New Roman" w:hAnsi="Times New Roman" w:cs="Times New Roman"/>
          <w:color w:val="000000"/>
          <w:lang w:eastAsia="es-CO"/>
        </w:rPr>
        <w:t xml:space="preserve"> 689 de 2011</w:t>
      </w:r>
      <w:r>
        <w:rPr>
          <w:rStyle w:val="FootnoteReference"/>
          <w:rFonts w:ascii="Times New Roman" w:eastAsia="Times New Roman" w:hAnsi="Times New Roman" w:cs="Times New Roman"/>
          <w:color w:val="000000"/>
          <w:lang w:eastAsia="es-CO"/>
        </w:rPr>
        <w:footnoteReference w:id="1"/>
      </w:r>
      <w:r w:rsidRPr="00885885">
        <w:rPr>
          <w:rFonts w:ascii="Times New Roman" w:eastAsia="Times New Roman" w:hAnsi="Times New Roman" w:cs="Times New Roman"/>
          <w:color w:val="000000"/>
          <w:lang w:eastAsia="es-CO"/>
        </w:rPr>
        <w:t xml:space="preserve"> y el 171 de 2013</w:t>
      </w:r>
      <w:r>
        <w:rPr>
          <w:rStyle w:val="FootnoteReference"/>
          <w:rFonts w:ascii="Times New Roman" w:eastAsia="Times New Roman" w:hAnsi="Times New Roman" w:cs="Times New Roman"/>
          <w:color w:val="000000"/>
          <w:lang w:eastAsia="es-CO"/>
        </w:rPr>
        <w:footnoteReference w:id="2"/>
      </w:r>
      <w:r w:rsidRPr="00885885">
        <w:rPr>
          <w:rFonts w:ascii="Times New Roman" w:eastAsia="Times New Roman" w:hAnsi="Times New Roman" w:cs="Times New Roman"/>
          <w:color w:val="000000"/>
          <w:lang w:eastAsia="es-CO"/>
        </w:rPr>
        <w:t>.</w:t>
      </w:r>
      <w:r>
        <w:rPr>
          <w:rFonts w:ascii="Times New Roman" w:eastAsia="Times New Roman" w:hAnsi="Times New Roman" w:cs="Times New Roman"/>
          <w:color w:val="000000"/>
          <w:lang w:eastAsia="es-CO"/>
        </w:rPr>
        <w:t xml:space="preserve"> </w:t>
      </w:r>
    </w:p>
    <w:p w14:paraId="19C89BCB" w14:textId="77777777" w:rsidR="00F97AE4" w:rsidRPr="00885885" w:rsidRDefault="00F97AE4" w:rsidP="00CC159B">
      <w:pPr>
        <w:spacing w:after="0" w:line="276" w:lineRule="auto"/>
        <w:jc w:val="both"/>
        <w:rPr>
          <w:rFonts w:ascii="Times New Roman" w:eastAsia="Times New Roman" w:hAnsi="Times New Roman" w:cs="Times New Roman"/>
          <w:color w:val="000000"/>
          <w:lang w:eastAsia="es-CO"/>
        </w:rPr>
      </w:pPr>
    </w:p>
    <w:p w14:paraId="400D879F" w14:textId="2899DEAB" w:rsidR="00F97AE4" w:rsidRPr="00885885" w:rsidRDefault="00F97AE4" w:rsidP="00CC159B">
      <w:pPr>
        <w:spacing w:after="0" w:line="276"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Las anteriores disposiciones normativas</w:t>
      </w:r>
      <w:r w:rsidRPr="00885885">
        <w:rPr>
          <w:rFonts w:ascii="Times New Roman" w:eastAsia="Times New Roman" w:hAnsi="Times New Roman" w:cs="Times New Roman"/>
          <w:color w:val="000000"/>
          <w:lang w:eastAsia="es-CO"/>
        </w:rPr>
        <w:t xml:space="preserve"> posiciona</w:t>
      </w:r>
      <w:r>
        <w:rPr>
          <w:rFonts w:ascii="Times New Roman" w:eastAsia="Times New Roman" w:hAnsi="Times New Roman" w:cs="Times New Roman"/>
          <w:color w:val="000000"/>
          <w:lang w:eastAsia="es-CO"/>
        </w:rPr>
        <w:t>n</w:t>
      </w:r>
      <w:r w:rsidRPr="00885885">
        <w:rPr>
          <w:rFonts w:ascii="Times New Roman" w:eastAsia="Times New Roman" w:hAnsi="Times New Roman" w:cs="Times New Roman"/>
          <w:color w:val="000000"/>
          <w:lang w:eastAsia="es-CO"/>
        </w:rPr>
        <w:t xml:space="preserve"> las políticas públicas como </w:t>
      </w:r>
      <w:r w:rsidR="006E6FF7">
        <w:rPr>
          <w:rFonts w:ascii="Times New Roman" w:eastAsia="Times New Roman" w:hAnsi="Times New Roman" w:cs="Times New Roman"/>
          <w:color w:val="000000"/>
          <w:lang w:eastAsia="es-CO"/>
        </w:rPr>
        <w:t xml:space="preserve">el más importante </w:t>
      </w:r>
      <w:r w:rsidR="006E6FF7" w:rsidRPr="00885885">
        <w:rPr>
          <w:rFonts w:ascii="Times New Roman" w:eastAsia="Times New Roman" w:hAnsi="Times New Roman" w:cs="Times New Roman"/>
          <w:color w:val="000000"/>
          <w:lang w:eastAsia="es-CO"/>
        </w:rPr>
        <w:t>instrumento</w:t>
      </w:r>
      <w:r w:rsidRPr="00885885">
        <w:rPr>
          <w:rFonts w:ascii="Times New Roman" w:eastAsia="Times New Roman" w:hAnsi="Times New Roman" w:cs="Times New Roman"/>
          <w:color w:val="000000"/>
          <w:lang w:eastAsia="es-CO"/>
        </w:rPr>
        <w:t xml:space="preserve"> de planeación</w:t>
      </w:r>
      <w:r>
        <w:rPr>
          <w:rFonts w:ascii="Times New Roman" w:eastAsia="Times New Roman" w:hAnsi="Times New Roman" w:cs="Times New Roman"/>
          <w:color w:val="000000"/>
          <w:lang w:eastAsia="es-CO"/>
        </w:rPr>
        <w:t xml:space="preserve"> en el Distrito</w:t>
      </w:r>
      <w:r w:rsidRPr="00885885">
        <w:rPr>
          <w:rFonts w:ascii="Times New Roman" w:eastAsia="Times New Roman" w:hAnsi="Times New Roman" w:cs="Times New Roman"/>
          <w:color w:val="000000"/>
          <w:lang w:eastAsia="es-CO"/>
        </w:rPr>
        <w:t xml:space="preserve">. Entre los principales cambios se encuentran: </w:t>
      </w:r>
      <w:r w:rsidR="006E6FF7">
        <w:rPr>
          <w:rFonts w:ascii="Times New Roman" w:eastAsia="Times New Roman" w:hAnsi="Times New Roman" w:cs="Times New Roman"/>
          <w:color w:val="000000"/>
          <w:lang w:eastAsia="es-CO"/>
        </w:rPr>
        <w:t xml:space="preserve">una </w:t>
      </w:r>
      <w:r w:rsidRPr="00885885">
        <w:rPr>
          <w:rFonts w:ascii="Times New Roman" w:eastAsia="Times New Roman" w:hAnsi="Times New Roman" w:cs="Times New Roman"/>
          <w:color w:val="000000"/>
          <w:lang w:eastAsia="es-CO"/>
        </w:rPr>
        <w:t xml:space="preserve">nueva fase de preparación de la propuesta de política pública, </w:t>
      </w:r>
      <w:r w:rsidR="006E6FF7">
        <w:rPr>
          <w:rFonts w:ascii="Times New Roman" w:eastAsia="Times New Roman" w:hAnsi="Times New Roman" w:cs="Times New Roman"/>
          <w:color w:val="000000"/>
          <w:lang w:eastAsia="es-CO"/>
        </w:rPr>
        <w:t xml:space="preserve">que se debe dar un </w:t>
      </w:r>
      <w:r w:rsidRPr="00885885">
        <w:rPr>
          <w:rFonts w:ascii="Times New Roman" w:eastAsia="Times New Roman" w:hAnsi="Times New Roman" w:cs="Times New Roman"/>
          <w:color w:val="000000"/>
          <w:lang w:eastAsia="es-CO"/>
        </w:rPr>
        <w:t>proceso de participación ciudadana transversal a todas las fases, relevancia del análisis de actores, elaboración del plan de acción en la fase de formulación, concertación de las entidades corresponsables en la implementación de políticas públicas, empoderamiento de las entidades cabeza de sector, acompañamiento permanente a las entidades</w:t>
      </w:r>
      <w:r>
        <w:rPr>
          <w:rFonts w:ascii="Times New Roman" w:eastAsia="Times New Roman" w:hAnsi="Times New Roman" w:cs="Times New Roman"/>
          <w:color w:val="000000"/>
          <w:lang w:eastAsia="es-CO"/>
        </w:rPr>
        <w:t xml:space="preserve"> que requieran formular</w:t>
      </w:r>
      <w:r w:rsidRPr="00885885">
        <w:rPr>
          <w:rFonts w:ascii="Times New Roman" w:eastAsia="Times New Roman" w:hAnsi="Times New Roman" w:cs="Times New Roman"/>
          <w:color w:val="000000"/>
          <w:lang w:eastAsia="es-CO"/>
        </w:rPr>
        <w:t xml:space="preserve"> política</w:t>
      </w:r>
      <w:r>
        <w:rPr>
          <w:rFonts w:ascii="Times New Roman" w:eastAsia="Times New Roman" w:hAnsi="Times New Roman" w:cs="Times New Roman"/>
          <w:color w:val="000000"/>
          <w:lang w:eastAsia="es-CO"/>
        </w:rPr>
        <w:t>s</w:t>
      </w:r>
      <w:r w:rsidRPr="00885885">
        <w:rPr>
          <w:rFonts w:ascii="Times New Roman" w:eastAsia="Times New Roman" w:hAnsi="Times New Roman" w:cs="Times New Roman"/>
          <w:color w:val="000000"/>
          <w:lang w:eastAsia="es-CO"/>
        </w:rPr>
        <w:t xml:space="preserve"> pública</w:t>
      </w:r>
      <w:r>
        <w:rPr>
          <w:rFonts w:ascii="Times New Roman" w:eastAsia="Times New Roman" w:hAnsi="Times New Roman" w:cs="Times New Roman"/>
          <w:color w:val="000000"/>
          <w:lang w:eastAsia="es-CO"/>
        </w:rPr>
        <w:t>s</w:t>
      </w:r>
      <w:r w:rsidRPr="00885885">
        <w:rPr>
          <w:rFonts w:ascii="Times New Roman" w:eastAsia="Times New Roman" w:hAnsi="Times New Roman" w:cs="Times New Roman"/>
          <w:color w:val="000000"/>
          <w:lang w:eastAsia="es-CO"/>
        </w:rPr>
        <w:t xml:space="preserve"> por parte de las oficinas asesoras de planeación de las entidades cabeza de sector,</w:t>
      </w:r>
      <w:r>
        <w:rPr>
          <w:rFonts w:ascii="Times New Roman" w:eastAsia="Times New Roman" w:hAnsi="Times New Roman" w:cs="Times New Roman"/>
          <w:color w:val="000000"/>
          <w:lang w:eastAsia="es-CO"/>
        </w:rPr>
        <w:t xml:space="preserve"> adopción de políticas públicas únicamente por Conpes Distrital presidido por el Alcalde Mayor y conformado por los Secretarios de Despacho,</w:t>
      </w:r>
      <w:r w:rsidRPr="00885885">
        <w:rPr>
          <w:rFonts w:ascii="Times New Roman" w:eastAsia="Times New Roman" w:hAnsi="Times New Roman" w:cs="Times New Roman"/>
          <w:color w:val="000000"/>
          <w:lang w:eastAsia="es-CO"/>
        </w:rPr>
        <w:t xml:space="preserve"> entre otras. </w:t>
      </w:r>
    </w:p>
    <w:p w14:paraId="1A6AD115" w14:textId="77777777" w:rsidR="00D34A02" w:rsidRDefault="00D34A02" w:rsidP="00CC159B">
      <w:pPr>
        <w:spacing w:after="0" w:line="276" w:lineRule="auto"/>
        <w:jc w:val="both"/>
        <w:rPr>
          <w:rFonts w:ascii="Times New Roman" w:eastAsia="Times New Roman" w:hAnsi="Times New Roman" w:cs="Times New Roman"/>
          <w:color w:val="000000"/>
          <w:lang w:eastAsia="es-CO"/>
        </w:rPr>
      </w:pPr>
    </w:p>
    <w:p w14:paraId="6B85658F" w14:textId="6AC2F4D8" w:rsidR="00F97AE4" w:rsidRDefault="00D34A02" w:rsidP="00CC159B">
      <w:pPr>
        <w:spacing w:after="0" w:line="276" w:lineRule="auto"/>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 xml:space="preserve">En el marco de </w:t>
      </w:r>
      <w:r w:rsidR="00F97AE4" w:rsidRPr="00885885">
        <w:rPr>
          <w:rFonts w:ascii="Times New Roman" w:eastAsia="Times New Roman" w:hAnsi="Times New Roman" w:cs="Times New Roman"/>
          <w:color w:val="000000"/>
          <w:lang w:eastAsia="es-CO"/>
        </w:rPr>
        <w:t xml:space="preserve">este cambio metodológico, la Secretaria Distrital de Gobierno ha realizado diferentes espacios de articulación institucional con el Departamento Administrativo de la Defensoría del Espacio Público – DADEP, el Instituto Distrital de Participación y Acción Comunal – IDPAC y la Secretaría Distrital de Planeación – SDP, </w:t>
      </w:r>
      <w:r w:rsidR="00F97AE4">
        <w:rPr>
          <w:rFonts w:ascii="Times New Roman" w:eastAsia="Times New Roman" w:hAnsi="Times New Roman" w:cs="Times New Roman"/>
          <w:color w:val="000000"/>
          <w:lang w:eastAsia="es-CO"/>
        </w:rPr>
        <w:t>con el fin</w:t>
      </w:r>
      <w:r w:rsidR="00F97AE4" w:rsidRPr="00885885">
        <w:rPr>
          <w:rFonts w:ascii="Times New Roman" w:eastAsia="Times New Roman" w:hAnsi="Times New Roman" w:cs="Times New Roman"/>
          <w:color w:val="000000"/>
          <w:lang w:eastAsia="es-CO"/>
        </w:rPr>
        <w:t xml:space="preserve"> de </w:t>
      </w:r>
      <w:r w:rsidR="006E6FF7">
        <w:rPr>
          <w:rFonts w:ascii="Times New Roman" w:eastAsia="Times New Roman" w:hAnsi="Times New Roman" w:cs="Times New Roman"/>
          <w:color w:val="000000"/>
          <w:lang w:eastAsia="es-CO"/>
        </w:rPr>
        <w:t>minimizar</w:t>
      </w:r>
      <w:r w:rsidR="00F97AE4" w:rsidRPr="00885885">
        <w:rPr>
          <w:rFonts w:ascii="Times New Roman" w:eastAsia="Times New Roman" w:hAnsi="Times New Roman" w:cs="Times New Roman"/>
          <w:color w:val="000000"/>
          <w:lang w:eastAsia="es-CO"/>
        </w:rPr>
        <w:t xml:space="preserve"> los riesgos de un</w:t>
      </w:r>
      <w:r>
        <w:rPr>
          <w:rFonts w:ascii="Times New Roman" w:eastAsia="Times New Roman" w:hAnsi="Times New Roman" w:cs="Times New Roman"/>
          <w:color w:val="000000"/>
          <w:lang w:eastAsia="es-CO"/>
        </w:rPr>
        <w:t>a</w:t>
      </w:r>
      <w:r w:rsidR="00F97AE4" w:rsidRPr="00885885">
        <w:rPr>
          <w:rFonts w:ascii="Times New Roman" w:eastAsia="Times New Roman" w:hAnsi="Times New Roman" w:cs="Times New Roman"/>
          <w:color w:val="000000"/>
          <w:lang w:eastAsia="es-CO"/>
        </w:rPr>
        <w:t xml:space="preserve"> inadecuada </w:t>
      </w:r>
      <w:r>
        <w:rPr>
          <w:rFonts w:ascii="Times New Roman" w:eastAsia="Times New Roman" w:hAnsi="Times New Roman" w:cs="Times New Roman"/>
          <w:color w:val="000000"/>
          <w:lang w:eastAsia="es-CO"/>
        </w:rPr>
        <w:t xml:space="preserve">aplicación de las diferentes fases de ciclo de </w:t>
      </w:r>
      <w:r w:rsidR="00F97AE4" w:rsidRPr="00885885">
        <w:rPr>
          <w:rFonts w:ascii="Times New Roman" w:eastAsia="Times New Roman" w:hAnsi="Times New Roman" w:cs="Times New Roman"/>
          <w:color w:val="000000"/>
          <w:lang w:eastAsia="es-CO"/>
        </w:rPr>
        <w:t xml:space="preserve">política pública. </w:t>
      </w:r>
    </w:p>
    <w:p w14:paraId="2E878375" w14:textId="77777777" w:rsidR="00D34A02" w:rsidRDefault="00D34A02" w:rsidP="00CC159B">
      <w:pPr>
        <w:spacing w:after="0" w:line="276" w:lineRule="auto"/>
        <w:jc w:val="both"/>
        <w:rPr>
          <w:rFonts w:ascii="Times New Roman" w:eastAsia="Times New Roman" w:hAnsi="Times New Roman" w:cs="Times New Roman"/>
          <w:color w:val="000000"/>
          <w:lang w:eastAsia="es-CO"/>
        </w:rPr>
      </w:pPr>
    </w:p>
    <w:p w14:paraId="55416C65" w14:textId="424A74AE" w:rsidR="00F97AE4" w:rsidRPr="00A12D92" w:rsidRDefault="00A12D92" w:rsidP="00CC159B">
      <w:pPr>
        <w:spacing w:after="0" w:line="276" w:lineRule="auto"/>
        <w:jc w:val="both"/>
        <w:rPr>
          <w:rFonts w:ascii="Times New Roman" w:eastAsia="Times New Roman" w:hAnsi="Times New Roman" w:cs="Times New Roman"/>
          <w:b/>
          <w:sz w:val="24"/>
          <w:lang w:eastAsia="es-CO"/>
        </w:rPr>
      </w:pPr>
      <w:r>
        <w:rPr>
          <w:rFonts w:ascii="Times New Roman" w:eastAsia="Times New Roman" w:hAnsi="Times New Roman" w:cs="Times New Roman"/>
          <w:b/>
          <w:sz w:val="24"/>
          <w:lang w:eastAsia="es-CO"/>
        </w:rPr>
        <w:t>Estado de las Políticas P</w:t>
      </w:r>
      <w:r w:rsidR="00F97AE4" w:rsidRPr="00A12D92">
        <w:rPr>
          <w:rFonts w:ascii="Times New Roman" w:eastAsia="Times New Roman" w:hAnsi="Times New Roman" w:cs="Times New Roman"/>
          <w:b/>
          <w:sz w:val="24"/>
          <w:lang w:eastAsia="es-CO"/>
        </w:rPr>
        <w:t>úblicas</w:t>
      </w:r>
    </w:p>
    <w:p w14:paraId="49E85501" w14:textId="77777777" w:rsidR="00F97AE4" w:rsidRDefault="00F97AE4" w:rsidP="00CC159B">
      <w:pPr>
        <w:spacing w:after="0" w:line="276" w:lineRule="auto"/>
        <w:jc w:val="both"/>
        <w:rPr>
          <w:rFonts w:ascii="Times New Roman" w:eastAsia="Times New Roman" w:hAnsi="Times New Roman" w:cs="Times New Roman"/>
          <w:b/>
          <w:lang w:eastAsia="es-CO"/>
        </w:rPr>
      </w:pPr>
    </w:p>
    <w:p w14:paraId="7111D9EE" w14:textId="26E769A6" w:rsidR="00F97AE4" w:rsidRPr="00DD1752" w:rsidRDefault="00F97AE4" w:rsidP="00CC159B">
      <w:pPr>
        <w:spacing w:after="0" w:line="276" w:lineRule="auto"/>
        <w:jc w:val="both"/>
        <w:rPr>
          <w:rFonts w:ascii="Times New Roman" w:eastAsia="Times New Roman" w:hAnsi="Times New Roman" w:cs="Times New Roman"/>
          <w:b/>
          <w:lang w:eastAsia="es-CO"/>
        </w:rPr>
      </w:pPr>
      <w:r>
        <w:rPr>
          <w:rFonts w:ascii="Times New Roman" w:eastAsia="Times New Roman" w:hAnsi="Times New Roman" w:cs="Times New Roman"/>
          <w:color w:val="000000"/>
          <w:lang w:eastAsia="es-CO"/>
        </w:rPr>
        <w:lastRenderedPageBreak/>
        <w:t xml:space="preserve">A </w:t>
      </w:r>
      <w:r w:rsidR="00FC061D">
        <w:rPr>
          <w:rFonts w:ascii="Times New Roman" w:eastAsia="Times New Roman" w:hAnsi="Times New Roman" w:cs="Times New Roman"/>
          <w:color w:val="000000"/>
          <w:lang w:eastAsia="es-CO"/>
        </w:rPr>
        <w:t>continuación,</w:t>
      </w:r>
      <w:r>
        <w:rPr>
          <w:rFonts w:ascii="Times New Roman" w:eastAsia="Times New Roman" w:hAnsi="Times New Roman" w:cs="Times New Roman"/>
          <w:color w:val="000000"/>
          <w:lang w:eastAsia="es-CO"/>
        </w:rPr>
        <w:t xml:space="preserve"> se presenta </w:t>
      </w:r>
      <w:r w:rsidR="00FA6C8C">
        <w:rPr>
          <w:rFonts w:ascii="Times New Roman" w:eastAsia="Times New Roman" w:hAnsi="Times New Roman" w:cs="Times New Roman"/>
          <w:color w:val="000000"/>
          <w:lang w:eastAsia="es-CO"/>
        </w:rPr>
        <w:t>el desarrollo y estado de las 1</w:t>
      </w:r>
      <w:r w:rsidR="00A028D4">
        <w:rPr>
          <w:rFonts w:ascii="Times New Roman" w:eastAsia="Times New Roman" w:hAnsi="Times New Roman" w:cs="Times New Roman"/>
          <w:color w:val="000000"/>
          <w:lang w:eastAsia="es-CO"/>
        </w:rPr>
        <w:t>3</w:t>
      </w:r>
      <w:r>
        <w:rPr>
          <w:rFonts w:ascii="Times New Roman" w:eastAsia="Times New Roman" w:hAnsi="Times New Roman" w:cs="Times New Roman"/>
          <w:color w:val="000000"/>
          <w:lang w:eastAsia="es-CO"/>
        </w:rPr>
        <w:t xml:space="preserve"> políticas públicas del Sector Gobierno: </w:t>
      </w:r>
    </w:p>
    <w:p w14:paraId="53828E79" w14:textId="4D5E1C68" w:rsidR="00993DDA" w:rsidRDefault="00993DDA" w:rsidP="00CC159B">
      <w:pPr>
        <w:spacing w:after="0" w:line="276" w:lineRule="auto"/>
        <w:jc w:val="both"/>
        <w:rPr>
          <w:rFonts w:ascii="Times New Roman" w:hAnsi="Times New Roman" w:cs="Times New Roman"/>
        </w:rPr>
      </w:pPr>
    </w:p>
    <w:p w14:paraId="11544EB7" w14:textId="77777777" w:rsidR="00F97AE4" w:rsidRPr="00357AF5" w:rsidRDefault="00F97AE4" w:rsidP="00CC159B">
      <w:pPr>
        <w:spacing w:after="0" w:line="276" w:lineRule="auto"/>
        <w:jc w:val="both"/>
        <w:rPr>
          <w:rFonts w:ascii="Times New Roman" w:eastAsia="Times New Roman" w:hAnsi="Times New Roman" w:cs="Times New Roman"/>
          <w:color w:val="0070C0"/>
          <w:u w:val="single"/>
          <w:lang w:eastAsia="es-CO"/>
        </w:rPr>
      </w:pPr>
      <w:r w:rsidRPr="00357AF5">
        <w:rPr>
          <w:rFonts w:ascii="Times New Roman" w:eastAsia="Times New Roman" w:hAnsi="Times New Roman" w:cs="Times New Roman"/>
          <w:color w:val="0070C0"/>
          <w:u w:val="single"/>
          <w:lang w:eastAsia="es-CO"/>
        </w:rPr>
        <w:t>Política Pública Integral de Derechos Humanos</w:t>
      </w:r>
    </w:p>
    <w:p w14:paraId="6A5C7009" w14:textId="77777777" w:rsidR="00F97AE4" w:rsidRDefault="00F97AE4" w:rsidP="00CC159B">
      <w:pPr>
        <w:spacing w:after="0" w:line="276" w:lineRule="auto"/>
        <w:jc w:val="both"/>
        <w:rPr>
          <w:rFonts w:ascii="Times New Roman" w:eastAsia="Times New Roman" w:hAnsi="Times New Roman" w:cs="Times New Roman"/>
          <w:u w:val="single"/>
          <w:lang w:eastAsia="es-CO"/>
        </w:rPr>
      </w:pPr>
    </w:p>
    <w:p w14:paraId="29B956EF" w14:textId="366FADFC" w:rsidR="000C6BF6" w:rsidRPr="000C6BF6" w:rsidRDefault="000C6BF6" w:rsidP="00CC159B">
      <w:pPr>
        <w:spacing w:after="0" w:line="276" w:lineRule="auto"/>
        <w:jc w:val="both"/>
        <w:rPr>
          <w:rFonts w:ascii="Times New Roman" w:hAnsi="Times New Roman" w:cs="Times New Roman"/>
        </w:rPr>
      </w:pPr>
      <w:r w:rsidRPr="000C6BF6">
        <w:rPr>
          <w:rFonts w:ascii="Times New Roman" w:hAnsi="Times New Roman" w:cs="Times New Roman"/>
        </w:rPr>
        <w:t xml:space="preserve">La formulación de la Política Pública Integral de Derechos Humanos estaba contemplada como una meta del Plan Distrital de Desarrollo </w:t>
      </w:r>
      <w:r>
        <w:rPr>
          <w:rFonts w:ascii="Times New Roman" w:hAnsi="Times New Roman" w:cs="Times New Roman"/>
        </w:rPr>
        <w:t xml:space="preserve">Bogotá Mejor Para Todos </w:t>
      </w:r>
      <w:r w:rsidRPr="000C6BF6">
        <w:rPr>
          <w:rFonts w:ascii="Times New Roman" w:hAnsi="Times New Roman" w:cs="Times New Roman"/>
        </w:rPr>
        <w:t xml:space="preserve">a cargo de la Secretaría Distrital de Gobierno como instrumento </w:t>
      </w:r>
      <w:r>
        <w:rPr>
          <w:rFonts w:ascii="Times New Roman" w:hAnsi="Times New Roman" w:cs="Times New Roman"/>
        </w:rPr>
        <w:t xml:space="preserve">de </w:t>
      </w:r>
      <w:r w:rsidRPr="000C6BF6">
        <w:rPr>
          <w:rFonts w:ascii="Times New Roman" w:hAnsi="Times New Roman" w:cs="Times New Roman"/>
        </w:rPr>
        <w:t>articula</w:t>
      </w:r>
      <w:r>
        <w:rPr>
          <w:rFonts w:ascii="Times New Roman" w:hAnsi="Times New Roman" w:cs="Times New Roman"/>
        </w:rPr>
        <w:t xml:space="preserve">ción y acción </w:t>
      </w:r>
      <w:r w:rsidRPr="000C6BF6">
        <w:rPr>
          <w:rFonts w:ascii="Times New Roman" w:hAnsi="Times New Roman" w:cs="Times New Roman"/>
        </w:rPr>
        <w:t>para la implementación del Sistema Distrital de Derechos Humanos.</w:t>
      </w:r>
    </w:p>
    <w:p w14:paraId="4648D0B0" w14:textId="77777777" w:rsidR="000C6BF6" w:rsidRPr="000C6BF6" w:rsidRDefault="000C6BF6" w:rsidP="00CC159B">
      <w:pPr>
        <w:spacing w:after="0" w:line="276" w:lineRule="auto"/>
        <w:jc w:val="both"/>
        <w:rPr>
          <w:rFonts w:ascii="Times New Roman" w:hAnsi="Times New Roman" w:cs="Times New Roman"/>
        </w:rPr>
      </w:pPr>
    </w:p>
    <w:p w14:paraId="1EA57A1C" w14:textId="77777777" w:rsidR="00745623" w:rsidRDefault="000C6BF6" w:rsidP="00CC159B">
      <w:pPr>
        <w:spacing w:after="0" w:line="276" w:lineRule="auto"/>
        <w:jc w:val="both"/>
        <w:rPr>
          <w:rFonts w:ascii="Times New Roman" w:hAnsi="Times New Roman" w:cs="Times New Roman"/>
        </w:rPr>
      </w:pPr>
      <w:r w:rsidRPr="000C6BF6">
        <w:rPr>
          <w:rFonts w:ascii="Times New Roman" w:hAnsi="Times New Roman" w:cs="Times New Roman"/>
        </w:rPr>
        <w:t>Una vez recibida la aprobación de la política pública por parte de la Secretaría Distrital de Planeación</w:t>
      </w:r>
      <w:r w:rsidR="00745623">
        <w:rPr>
          <w:rFonts w:ascii="Times New Roman" w:hAnsi="Times New Roman" w:cs="Times New Roman"/>
        </w:rPr>
        <w:t>,</w:t>
      </w:r>
      <w:r w:rsidRPr="000C6BF6">
        <w:rPr>
          <w:rFonts w:ascii="Times New Roman" w:hAnsi="Times New Roman" w:cs="Times New Roman"/>
        </w:rPr>
        <w:t xml:space="preserve"> esta fue presentada en sesión CONPES D.C por el Secretario de Gobierno</w:t>
      </w:r>
      <w:r w:rsidR="00745623">
        <w:rPr>
          <w:rFonts w:ascii="Times New Roman" w:hAnsi="Times New Roman" w:cs="Times New Roman"/>
        </w:rPr>
        <w:t>, siendo</w:t>
      </w:r>
      <w:r w:rsidRPr="000C6BF6">
        <w:rPr>
          <w:rFonts w:ascii="Times New Roman" w:hAnsi="Times New Roman" w:cs="Times New Roman"/>
        </w:rPr>
        <w:t xml:space="preserve"> aprobada en el mes de noviembre de 2019. Su plan de acción es el resultado de un proceso de coordinación y concertación con </w:t>
      </w:r>
      <w:r w:rsidR="00745623">
        <w:rPr>
          <w:rFonts w:ascii="Times New Roman" w:hAnsi="Times New Roman" w:cs="Times New Roman"/>
        </w:rPr>
        <w:t xml:space="preserve">los 15 sectores de la administración </w:t>
      </w:r>
      <w:r w:rsidRPr="000C6BF6">
        <w:rPr>
          <w:rFonts w:ascii="Times New Roman" w:hAnsi="Times New Roman" w:cs="Times New Roman"/>
        </w:rPr>
        <w:t>distrital</w:t>
      </w:r>
      <w:r w:rsidR="00745623">
        <w:rPr>
          <w:rFonts w:ascii="Times New Roman" w:hAnsi="Times New Roman" w:cs="Times New Roman"/>
        </w:rPr>
        <w:t>.</w:t>
      </w:r>
    </w:p>
    <w:p w14:paraId="32DE31A2" w14:textId="77777777" w:rsidR="00745623" w:rsidRDefault="00745623" w:rsidP="00CC159B">
      <w:pPr>
        <w:spacing w:after="0" w:line="276" w:lineRule="auto"/>
        <w:jc w:val="both"/>
        <w:rPr>
          <w:rFonts w:ascii="Times New Roman" w:hAnsi="Times New Roman" w:cs="Times New Roman"/>
        </w:rPr>
      </w:pPr>
    </w:p>
    <w:p w14:paraId="727ABCD0" w14:textId="10E8D720" w:rsidR="000C6BF6" w:rsidRPr="000C6BF6" w:rsidRDefault="000C6BF6" w:rsidP="00CC159B">
      <w:pPr>
        <w:spacing w:after="0" w:line="276" w:lineRule="auto"/>
        <w:jc w:val="both"/>
        <w:rPr>
          <w:rFonts w:ascii="Times New Roman" w:hAnsi="Times New Roman" w:cs="Times New Roman"/>
        </w:rPr>
      </w:pPr>
      <w:r w:rsidRPr="000C6BF6">
        <w:rPr>
          <w:rFonts w:ascii="Times New Roman" w:hAnsi="Times New Roman" w:cs="Times New Roman"/>
        </w:rPr>
        <w:t xml:space="preserve">No obstante, </w:t>
      </w:r>
      <w:r w:rsidR="00745623">
        <w:rPr>
          <w:rFonts w:ascii="Times New Roman" w:hAnsi="Times New Roman" w:cs="Times New Roman"/>
        </w:rPr>
        <w:t xml:space="preserve">conforme a una revisión de este instrumento adelantada por la Secretaría Distrital de Planeación en el mes de mayo, se identificó la necesidad de realizar ajustes de forma y de fondo a los resultados y productos. Bajo este escenario, de manera articulada con la Subsecretaría para la Gobernabilidad y la Garantía de Derechos, la Dirección de Derechos Humanos y la Oficina Asesora de Planeación </w:t>
      </w:r>
      <w:r w:rsidRPr="000C6BF6">
        <w:rPr>
          <w:rFonts w:ascii="Times New Roman" w:hAnsi="Times New Roman" w:cs="Times New Roman"/>
        </w:rPr>
        <w:t>se adelant</w:t>
      </w:r>
      <w:r w:rsidR="00745623">
        <w:rPr>
          <w:rFonts w:ascii="Times New Roman" w:hAnsi="Times New Roman" w:cs="Times New Roman"/>
        </w:rPr>
        <w:t xml:space="preserve">ó </w:t>
      </w:r>
      <w:r w:rsidRPr="000C6BF6">
        <w:rPr>
          <w:rFonts w:ascii="Times New Roman" w:hAnsi="Times New Roman" w:cs="Times New Roman"/>
        </w:rPr>
        <w:t>el proceso de actualización de</w:t>
      </w:r>
      <w:r w:rsidR="00401751">
        <w:rPr>
          <w:rFonts w:ascii="Times New Roman" w:hAnsi="Times New Roman" w:cs="Times New Roman"/>
        </w:rPr>
        <w:t xml:space="preserve"> este instrumento </w:t>
      </w:r>
      <w:r w:rsidRPr="000C6BF6">
        <w:rPr>
          <w:rFonts w:ascii="Times New Roman" w:hAnsi="Times New Roman" w:cs="Times New Roman"/>
        </w:rPr>
        <w:t xml:space="preserve">y las fichas técnicas de resultado y producto. </w:t>
      </w:r>
    </w:p>
    <w:p w14:paraId="69AA5F56" w14:textId="77777777" w:rsidR="000C6BF6" w:rsidRPr="000C6BF6" w:rsidRDefault="000C6BF6" w:rsidP="00CC159B">
      <w:pPr>
        <w:spacing w:after="0" w:line="276" w:lineRule="auto"/>
        <w:jc w:val="both"/>
        <w:rPr>
          <w:rFonts w:ascii="Times New Roman" w:hAnsi="Times New Roman" w:cs="Times New Roman"/>
        </w:rPr>
      </w:pPr>
    </w:p>
    <w:p w14:paraId="4818561C" w14:textId="77D2A8D9" w:rsidR="000C6BF6" w:rsidRPr="000C6BF6" w:rsidRDefault="006E6FF7" w:rsidP="00CC159B">
      <w:pPr>
        <w:spacing w:after="0" w:line="276" w:lineRule="auto"/>
        <w:jc w:val="both"/>
        <w:rPr>
          <w:rFonts w:ascii="Times New Roman" w:hAnsi="Times New Roman" w:cs="Times New Roman"/>
        </w:rPr>
      </w:pPr>
      <w:r>
        <w:rPr>
          <w:rFonts w:ascii="Times New Roman" w:hAnsi="Times New Roman" w:cs="Times New Roman"/>
        </w:rPr>
        <w:t>Dado esto</w:t>
      </w:r>
      <w:r w:rsidR="000C6BF6" w:rsidRPr="000C6BF6">
        <w:rPr>
          <w:rFonts w:ascii="Times New Roman" w:hAnsi="Times New Roman" w:cs="Times New Roman"/>
        </w:rPr>
        <w:t xml:space="preserve">, se </w:t>
      </w:r>
      <w:r w:rsidR="00401751" w:rsidRPr="000C6BF6">
        <w:rPr>
          <w:rFonts w:ascii="Times New Roman" w:hAnsi="Times New Roman" w:cs="Times New Roman"/>
        </w:rPr>
        <w:t>envió</w:t>
      </w:r>
      <w:r w:rsidR="000C6BF6" w:rsidRPr="000C6BF6">
        <w:rPr>
          <w:rFonts w:ascii="Times New Roman" w:hAnsi="Times New Roman" w:cs="Times New Roman"/>
        </w:rPr>
        <w:t xml:space="preserve"> el pasado 30 de julio el plan de acción con las correspondientes modificaciones de forma y de fondo a la profesional de la S</w:t>
      </w:r>
      <w:r w:rsidR="00401751">
        <w:rPr>
          <w:rFonts w:ascii="Times New Roman" w:hAnsi="Times New Roman" w:cs="Times New Roman"/>
        </w:rPr>
        <w:t xml:space="preserve">ecretaría </w:t>
      </w:r>
      <w:r w:rsidR="000C6BF6" w:rsidRPr="000C6BF6">
        <w:rPr>
          <w:rFonts w:ascii="Times New Roman" w:hAnsi="Times New Roman" w:cs="Times New Roman"/>
        </w:rPr>
        <w:t>D</w:t>
      </w:r>
      <w:r w:rsidR="00401751">
        <w:rPr>
          <w:rFonts w:ascii="Times New Roman" w:hAnsi="Times New Roman" w:cs="Times New Roman"/>
        </w:rPr>
        <w:t xml:space="preserve">istrital de </w:t>
      </w:r>
      <w:r w:rsidR="000C6BF6" w:rsidRPr="000C6BF6">
        <w:rPr>
          <w:rFonts w:ascii="Times New Roman" w:hAnsi="Times New Roman" w:cs="Times New Roman"/>
        </w:rPr>
        <w:t>P</w:t>
      </w:r>
      <w:r w:rsidR="00401751">
        <w:rPr>
          <w:rFonts w:ascii="Times New Roman" w:hAnsi="Times New Roman" w:cs="Times New Roman"/>
        </w:rPr>
        <w:t>laneación</w:t>
      </w:r>
      <w:r w:rsidR="000C6BF6" w:rsidRPr="000C6BF6">
        <w:rPr>
          <w:rFonts w:ascii="Times New Roman" w:hAnsi="Times New Roman" w:cs="Times New Roman"/>
        </w:rPr>
        <w:t xml:space="preserve"> para la respectiva </w:t>
      </w:r>
      <w:r w:rsidR="00401751">
        <w:rPr>
          <w:rFonts w:ascii="Times New Roman" w:hAnsi="Times New Roman" w:cs="Times New Roman"/>
        </w:rPr>
        <w:t>revisión</w:t>
      </w:r>
      <w:r w:rsidR="000C6BF6" w:rsidRPr="000C6BF6">
        <w:rPr>
          <w:rFonts w:ascii="Times New Roman" w:hAnsi="Times New Roman" w:cs="Times New Roman"/>
        </w:rPr>
        <w:t>.</w:t>
      </w:r>
      <w:r w:rsidR="00401751">
        <w:rPr>
          <w:rFonts w:ascii="Times New Roman" w:hAnsi="Times New Roman" w:cs="Times New Roman"/>
        </w:rPr>
        <w:t xml:space="preserve"> Las modificaciones realizadas serán presentadas e</w:t>
      </w:r>
      <w:r w:rsidR="00401751" w:rsidRPr="00401751">
        <w:rPr>
          <w:rFonts w:ascii="Times New Roman" w:hAnsi="Times New Roman" w:cs="Times New Roman"/>
        </w:rPr>
        <w:t xml:space="preserve">n el próximo comité sectorial de gestión y desempeño </w:t>
      </w:r>
      <w:r w:rsidR="00401751">
        <w:rPr>
          <w:rFonts w:ascii="Times New Roman" w:hAnsi="Times New Roman" w:cs="Times New Roman"/>
        </w:rPr>
        <w:t xml:space="preserve">para el posterior envío a la Secretaría Técnica del CONPES. </w:t>
      </w:r>
    </w:p>
    <w:p w14:paraId="0A7374EB" w14:textId="58D43E07" w:rsidR="003325A6" w:rsidRDefault="003325A6" w:rsidP="00CC159B">
      <w:pPr>
        <w:spacing w:after="0" w:line="276" w:lineRule="auto"/>
        <w:jc w:val="both"/>
        <w:rPr>
          <w:rFonts w:ascii="Times New Roman" w:hAnsi="Times New Roman" w:cs="Times New Roman"/>
          <w:color w:val="0070C0"/>
        </w:rPr>
      </w:pPr>
    </w:p>
    <w:p w14:paraId="3396C7AD" w14:textId="77777777" w:rsidR="00461298" w:rsidRPr="00357AF5" w:rsidRDefault="00461298" w:rsidP="00CC159B">
      <w:pPr>
        <w:spacing w:after="0" w:line="276" w:lineRule="auto"/>
        <w:jc w:val="both"/>
        <w:rPr>
          <w:rFonts w:ascii="Times New Roman" w:hAnsi="Times New Roman" w:cs="Times New Roman"/>
          <w:color w:val="0070C0"/>
          <w:u w:val="single"/>
        </w:rPr>
      </w:pPr>
      <w:r w:rsidRPr="00357AF5">
        <w:rPr>
          <w:rFonts w:ascii="Times New Roman" w:hAnsi="Times New Roman" w:cs="Times New Roman"/>
          <w:color w:val="0070C0"/>
          <w:u w:val="single"/>
        </w:rPr>
        <w:t>Política Pública de Libertades Fundamentales de Religión, Culto y Conciencia.</w:t>
      </w:r>
    </w:p>
    <w:p w14:paraId="3A771390" w14:textId="77777777" w:rsidR="00461298" w:rsidRDefault="00461298" w:rsidP="00CC159B">
      <w:pPr>
        <w:spacing w:after="0" w:line="276" w:lineRule="auto"/>
        <w:jc w:val="both"/>
        <w:rPr>
          <w:rFonts w:ascii="Times New Roman" w:hAnsi="Times New Roman" w:cs="Times New Roman"/>
          <w:u w:val="single"/>
        </w:rPr>
      </w:pPr>
    </w:p>
    <w:p w14:paraId="29DACD82" w14:textId="5B2EE286" w:rsidR="00461298" w:rsidRDefault="00461298" w:rsidP="00CC159B">
      <w:pPr>
        <w:spacing w:after="0" w:line="276" w:lineRule="auto"/>
        <w:jc w:val="both"/>
        <w:rPr>
          <w:rFonts w:ascii="Times New Roman" w:hAnsi="Times New Roman" w:cs="Times New Roman"/>
        </w:rPr>
      </w:pPr>
      <w:r w:rsidRPr="00461298">
        <w:rPr>
          <w:rFonts w:ascii="Times New Roman" w:hAnsi="Times New Roman" w:cs="Times New Roman"/>
        </w:rPr>
        <w:t>Esta política pública es adoptada a través del Decreto 093 de 2018 “Por el cual se crea la Política Pública Distrital de Libertades Fundamentales de Religión, Culto y Conciencia, para el Distrito Capital”</w:t>
      </w:r>
      <w:r>
        <w:rPr>
          <w:rFonts w:ascii="Times New Roman" w:hAnsi="Times New Roman" w:cs="Times New Roman"/>
        </w:rPr>
        <w:t>.</w:t>
      </w:r>
      <w:r w:rsidRPr="00461298">
        <w:rPr>
          <w:rFonts w:ascii="Times New Roman" w:hAnsi="Times New Roman" w:cs="Times New Roman"/>
        </w:rPr>
        <w:t xml:space="preserve"> </w:t>
      </w:r>
      <w:r>
        <w:rPr>
          <w:rFonts w:ascii="Times New Roman" w:hAnsi="Times New Roman" w:cs="Times New Roman"/>
        </w:rPr>
        <w:t>No obstante, t</w:t>
      </w:r>
      <w:r w:rsidRPr="00461298">
        <w:rPr>
          <w:rFonts w:ascii="Times New Roman" w:hAnsi="Times New Roman" w:cs="Times New Roman"/>
        </w:rPr>
        <w:t xml:space="preserve">eniendo en cuenta </w:t>
      </w:r>
      <w:r>
        <w:rPr>
          <w:rFonts w:ascii="Times New Roman" w:hAnsi="Times New Roman" w:cs="Times New Roman"/>
        </w:rPr>
        <w:t xml:space="preserve">el Decreto 668 de 2017 y </w:t>
      </w:r>
      <w:r w:rsidRPr="00461298">
        <w:rPr>
          <w:rFonts w:ascii="Times New Roman" w:hAnsi="Times New Roman" w:cs="Times New Roman"/>
        </w:rPr>
        <w:t xml:space="preserve">lo establecido en la Guía de </w:t>
      </w:r>
      <w:r>
        <w:rPr>
          <w:rFonts w:ascii="Times New Roman" w:hAnsi="Times New Roman" w:cs="Times New Roman"/>
        </w:rPr>
        <w:t>f</w:t>
      </w:r>
      <w:r w:rsidRPr="00461298">
        <w:rPr>
          <w:rFonts w:ascii="Times New Roman" w:hAnsi="Times New Roman" w:cs="Times New Roman"/>
        </w:rPr>
        <w:t xml:space="preserve">ormulación e </w:t>
      </w:r>
      <w:r>
        <w:rPr>
          <w:rFonts w:ascii="Times New Roman" w:hAnsi="Times New Roman" w:cs="Times New Roman"/>
        </w:rPr>
        <w:t>i</w:t>
      </w:r>
      <w:r w:rsidRPr="00461298">
        <w:rPr>
          <w:rFonts w:ascii="Times New Roman" w:hAnsi="Times New Roman" w:cs="Times New Roman"/>
        </w:rPr>
        <w:t xml:space="preserve">mplementación de Políticas Públicas, </w:t>
      </w:r>
      <w:r>
        <w:rPr>
          <w:rFonts w:ascii="Times New Roman" w:hAnsi="Times New Roman" w:cs="Times New Roman"/>
        </w:rPr>
        <w:t xml:space="preserve">el plan de acción de </w:t>
      </w:r>
      <w:r w:rsidRPr="00461298">
        <w:rPr>
          <w:rFonts w:ascii="Times New Roman" w:hAnsi="Times New Roman" w:cs="Times New Roman"/>
        </w:rPr>
        <w:t>esta política fue adoptad</w:t>
      </w:r>
      <w:r>
        <w:rPr>
          <w:rFonts w:ascii="Times New Roman" w:hAnsi="Times New Roman" w:cs="Times New Roman"/>
        </w:rPr>
        <w:t xml:space="preserve">o </w:t>
      </w:r>
      <w:r w:rsidRPr="00461298">
        <w:rPr>
          <w:rFonts w:ascii="Times New Roman" w:hAnsi="Times New Roman" w:cs="Times New Roman"/>
        </w:rPr>
        <w:t>mediante</w:t>
      </w:r>
      <w:r>
        <w:rPr>
          <w:rFonts w:ascii="Times New Roman" w:hAnsi="Times New Roman" w:cs="Times New Roman"/>
        </w:rPr>
        <w:t xml:space="preserve"> proceso</w:t>
      </w:r>
      <w:r w:rsidRPr="00461298">
        <w:rPr>
          <w:rFonts w:ascii="Times New Roman" w:hAnsi="Times New Roman" w:cs="Times New Roman"/>
        </w:rPr>
        <w:t xml:space="preserve"> Conpe</w:t>
      </w:r>
      <w:r>
        <w:rPr>
          <w:rFonts w:ascii="Times New Roman" w:hAnsi="Times New Roman" w:cs="Times New Roman"/>
        </w:rPr>
        <w:t>s.</w:t>
      </w:r>
    </w:p>
    <w:p w14:paraId="61078EDC" w14:textId="77777777" w:rsidR="00461298" w:rsidRPr="00461298" w:rsidRDefault="00461298" w:rsidP="00CC159B">
      <w:pPr>
        <w:spacing w:after="0" w:line="276" w:lineRule="auto"/>
        <w:jc w:val="both"/>
        <w:rPr>
          <w:rFonts w:ascii="Times New Roman" w:hAnsi="Times New Roman" w:cs="Times New Roman"/>
        </w:rPr>
      </w:pPr>
    </w:p>
    <w:p w14:paraId="0C90B755" w14:textId="74167C47" w:rsidR="00461298" w:rsidRDefault="00461298" w:rsidP="00CC159B">
      <w:pPr>
        <w:spacing w:after="0" w:line="276" w:lineRule="auto"/>
        <w:jc w:val="both"/>
        <w:rPr>
          <w:rFonts w:ascii="Times New Roman" w:hAnsi="Times New Roman" w:cs="Times New Roman"/>
        </w:rPr>
      </w:pPr>
      <w:r w:rsidRPr="00461298">
        <w:rPr>
          <w:rFonts w:ascii="Times New Roman" w:hAnsi="Times New Roman" w:cs="Times New Roman"/>
        </w:rPr>
        <w:t>En este contexto, en coordinación con la Secretaría Distrital de Planeación se revisó el plan de acción y se ajustó. Este fue presentado en sesión PRE-CONPES el viernes 6 de diciembre de 2019 y recibió retroalimentación de las entidades presentes</w:t>
      </w:r>
      <w:r>
        <w:rPr>
          <w:rFonts w:ascii="Times New Roman" w:hAnsi="Times New Roman" w:cs="Times New Roman"/>
        </w:rPr>
        <w:t xml:space="preserve">, los cuales </w:t>
      </w:r>
      <w:r w:rsidRPr="00461298">
        <w:rPr>
          <w:rFonts w:ascii="Times New Roman" w:hAnsi="Times New Roman" w:cs="Times New Roman"/>
        </w:rPr>
        <w:t>fueron ajustados por el equipo de política pública</w:t>
      </w:r>
      <w:r>
        <w:rPr>
          <w:rFonts w:ascii="Times New Roman" w:hAnsi="Times New Roman" w:cs="Times New Roman"/>
        </w:rPr>
        <w:t xml:space="preserve">, dando como resultado la aprobación de este instrumento en </w:t>
      </w:r>
      <w:r w:rsidRPr="00461298">
        <w:rPr>
          <w:rFonts w:ascii="Times New Roman" w:hAnsi="Times New Roman" w:cs="Times New Roman"/>
        </w:rPr>
        <w:t>sesión Conpes (Documento Conpes 12) el día 26 de diciembre</w:t>
      </w:r>
      <w:r w:rsidR="00A36AA5">
        <w:rPr>
          <w:rFonts w:ascii="Times New Roman" w:hAnsi="Times New Roman" w:cs="Times New Roman"/>
        </w:rPr>
        <w:t xml:space="preserve"> de 2019</w:t>
      </w:r>
      <w:r>
        <w:rPr>
          <w:rFonts w:ascii="Times New Roman" w:hAnsi="Times New Roman" w:cs="Times New Roman"/>
        </w:rPr>
        <w:t xml:space="preserve">. </w:t>
      </w:r>
    </w:p>
    <w:p w14:paraId="3B8E0E2D" w14:textId="40BD3A4E" w:rsidR="00461298" w:rsidRDefault="00461298" w:rsidP="00CC159B">
      <w:pPr>
        <w:spacing w:after="0" w:line="276" w:lineRule="auto"/>
        <w:jc w:val="both"/>
        <w:rPr>
          <w:rFonts w:ascii="Times New Roman" w:hAnsi="Times New Roman" w:cs="Times New Roman"/>
        </w:rPr>
      </w:pPr>
    </w:p>
    <w:p w14:paraId="3CC49E6B" w14:textId="1963BBF8" w:rsidR="00461298" w:rsidRPr="00461298" w:rsidRDefault="006E6FF7" w:rsidP="00CC159B">
      <w:pPr>
        <w:spacing w:after="0" w:line="276" w:lineRule="auto"/>
        <w:jc w:val="both"/>
        <w:rPr>
          <w:rFonts w:ascii="Times New Roman" w:hAnsi="Times New Roman" w:cs="Times New Roman"/>
        </w:rPr>
      </w:pPr>
      <w:r>
        <w:rPr>
          <w:rFonts w:ascii="Times New Roman" w:hAnsi="Times New Roman" w:cs="Times New Roman"/>
        </w:rPr>
        <w:t xml:space="preserve">En </w:t>
      </w:r>
      <w:r w:rsidR="00461298" w:rsidRPr="00461298">
        <w:rPr>
          <w:rFonts w:ascii="Times New Roman" w:hAnsi="Times New Roman" w:cs="Times New Roman"/>
        </w:rPr>
        <w:t xml:space="preserve">el mes de </w:t>
      </w:r>
      <w:r w:rsidR="00461298">
        <w:rPr>
          <w:rFonts w:ascii="Times New Roman" w:hAnsi="Times New Roman" w:cs="Times New Roman"/>
        </w:rPr>
        <w:t>mayo</w:t>
      </w:r>
      <w:r w:rsidR="00461298" w:rsidRPr="00461298">
        <w:rPr>
          <w:rFonts w:ascii="Times New Roman" w:hAnsi="Times New Roman" w:cs="Times New Roman"/>
        </w:rPr>
        <w:t>, la S</w:t>
      </w:r>
      <w:r w:rsidR="00461298">
        <w:rPr>
          <w:rFonts w:ascii="Times New Roman" w:hAnsi="Times New Roman" w:cs="Times New Roman"/>
        </w:rPr>
        <w:t xml:space="preserve">ecretaría </w:t>
      </w:r>
      <w:r w:rsidR="00461298" w:rsidRPr="00461298">
        <w:rPr>
          <w:rFonts w:ascii="Times New Roman" w:hAnsi="Times New Roman" w:cs="Times New Roman"/>
        </w:rPr>
        <w:t>D</w:t>
      </w:r>
      <w:r w:rsidR="00461298">
        <w:rPr>
          <w:rFonts w:ascii="Times New Roman" w:hAnsi="Times New Roman" w:cs="Times New Roman"/>
        </w:rPr>
        <w:t xml:space="preserve">istrital de </w:t>
      </w:r>
      <w:r w:rsidR="00461298" w:rsidRPr="00461298">
        <w:rPr>
          <w:rFonts w:ascii="Times New Roman" w:hAnsi="Times New Roman" w:cs="Times New Roman"/>
        </w:rPr>
        <w:t>P</w:t>
      </w:r>
      <w:r w:rsidR="00461298">
        <w:rPr>
          <w:rFonts w:ascii="Times New Roman" w:hAnsi="Times New Roman" w:cs="Times New Roman"/>
        </w:rPr>
        <w:t>laneación</w:t>
      </w:r>
      <w:r w:rsidR="00461298" w:rsidRPr="00461298">
        <w:rPr>
          <w:rFonts w:ascii="Times New Roman" w:hAnsi="Times New Roman" w:cs="Times New Roman"/>
        </w:rPr>
        <w:t xml:space="preserve"> realizó una </w:t>
      </w:r>
      <w:r w:rsidR="00461298">
        <w:rPr>
          <w:rFonts w:ascii="Times New Roman" w:hAnsi="Times New Roman" w:cs="Times New Roman"/>
        </w:rPr>
        <w:t>revisión</w:t>
      </w:r>
      <w:r w:rsidR="00461298" w:rsidRPr="00461298">
        <w:rPr>
          <w:rFonts w:ascii="Times New Roman" w:hAnsi="Times New Roman" w:cs="Times New Roman"/>
        </w:rPr>
        <w:t xml:space="preserve"> al plan de acción aprobado en el CONPES, motivo por el </w:t>
      </w:r>
      <w:r w:rsidR="00CC159B" w:rsidRPr="00461298">
        <w:rPr>
          <w:rFonts w:ascii="Times New Roman" w:hAnsi="Times New Roman" w:cs="Times New Roman"/>
        </w:rPr>
        <w:t>cual,</w:t>
      </w:r>
      <w:r w:rsidR="00461298" w:rsidRPr="00461298">
        <w:rPr>
          <w:rFonts w:ascii="Times New Roman" w:hAnsi="Times New Roman" w:cs="Times New Roman"/>
        </w:rPr>
        <w:t xml:space="preserve"> </w:t>
      </w:r>
      <w:r w:rsidR="00461298">
        <w:rPr>
          <w:rFonts w:ascii="Times New Roman" w:hAnsi="Times New Roman" w:cs="Times New Roman"/>
        </w:rPr>
        <w:t xml:space="preserve">en articulación con la </w:t>
      </w:r>
      <w:r w:rsidR="00461298" w:rsidRPr="00461298">
        <w:rPr>
          <w:rFonts w:ascii="Times New Roman" w:hAnsi="Times New Roman" w:cs="Times New Roman"/>
        </w:rPr>
        <w:t>Subdirección de Asuntos de Libertad</w:t>
      </w:r>
      <w:r w:rsidR="00461298">
        <w:rPr>
          <w:rFonts w:ascii="Times New Roman" w:hAnsi="Times New Roman" w:cs="Times New Roman"/>
        </w:rPr>
        <w:t xml:space="preserve">, </w:t>
      </w:r>
      <w:r w:rsidR="00461298" w:rsidRPr="00461298">
        <w:rPr>
          <w:rFonts w:ascii="Times New Roman" w:hAnsi="Times New Roman" w:cs="Times New Roman"/>
        </w:rPr>
        <w:t>Religiosa y de Conciencia</w:t>
      </w:r>
      <w:r w:rsidR="00461298">
        <w:rPr>
          <w:rFonts w:ascii="Times New Roman" w:hAnsi="Times New Roman" w:cs="Times New Roman"/>
        </w:rPr>
        <w:t xml:space="preserve"> </w:t>
      </w:r>
      <w:r w:rsidR="00461298" w:rsidRPr="00461298">
        <w:rPr>
          <w:rFonts w:ascii="Times New Roman" w:hAnsi="Times New Roman" w:cs="Times New Roman"/>
        </w:rPr>
        <w:t xml:space="preserve">se </w:t>
      </w:r>
      <w:r>
        <w:rPr>
          <w:rFonts w:ascii="Times New Roman" w:hAnsi="Times New Roman" w:cs="Times New Roman"/>
        </w:rPr>
        <w:t>hizo una</w:t>
      </w:r>
      <w:r w:rsidR="00461298" w:rsidRPr="00461298">
        <w:rPr>
          <w:rFonts w:ascii="Times New Roman" w:hAnsi="Times New Roman" w:cs="Times New Roman"/>
        </w:rPr>
        <w:t xml:space="preserve"> revisión de este instrumento</w:t>
      </w:r>
      <w:r w:rsidR="00461298">
        <w:rPr>
          <w:rFonts w:ascii="Times New Roman" w:hAnsi="Times New Roman" w:cs="Times New Roman"/>
        </w:rPr>
        <w:t>,</w:t>
      </w:r>
      <w:r>
        <w:rPr>
          <w:rFonts w:ascii="Times New Roman" w:hAnsi="Times New Roman" w:cs="Times New Roman"/>
        </w:rPr>
        <w:t xml:space="preserve"> el cual fue enviado</w:t>
      </w:r>
      <w:r w:rsidR="00461298" w:rsidRPr="00461298">
        <w:rPr>
          <w:rFonts w:ascii="Times New Roman" w:hAnsi="Times New Roman" w:cs="Times New Roman"/>
        </w:rPr>
        <w:t xml:space="preserve"> el 29 de mayo </w:t>
      </w:r>
      <w:r w:rsidR="00B83E84">
        <w:rPr>
          <w:rFonts w:ascii="Times New Roman" w:hAnsi="Times New Roman" w:cs="Times New Roman"/>
        </w:rPr>
        <w:t>a La Secretaría de Planeación</w:t>
      </w:r>
      <w:r w:rsidR="00CC159B">
        <w:rPr>
          <w:rFonts w:ascii="Times New Roman" w:hAnsi="Times New Roman" w:cs="Times New Roman"/>
        </w:rPr>
        <w:t>.</w:t>
      </w:r>
      <w:r w:rsidR="00461298" w:rsidRPr="00461298">
        <w:rPr>
          <w:rFonts w:ascii="Times New Roman" w:hAnsi="Times New Roman" w:cs="Times New Roman"/>
        </w:rPr>
        <w:t xml:space="preserve"> No obstante, teniendo en cuenta que se presentaron </w:t>
      </w:r>
      <w:r w:rsidR="00461298" w:rsidRPr="00461298">
        <w:rPr>
          <w:rFonts w:ascii="Times New Roman" w:hAnsi="Times New Roman" w:cs="Times New Roman"/>
        </w:rPr>
        <w:lastRenderedPageBreak/>
        <w:t xml:space="preserve">cambios de fondo en 2 indicadores de resultado, </w:t>
      </w:r>
      <w:r w:rsidR="00B83E84">
        <w:rPr>
          <w:rFonts w:ascii="Times New Roman" w:hAnsi="Times New Roman" w:cs="Times New Roman"/>
        </w:rPr>
        <w:t>estos</w:t>
      </w:r>
      <w:r w:rsidR="00461298" w:rsidRPr="00461298">
        <w:rPr>
          <w:rFonts w:ascii="Times New Roman" w:hAnsi="Times New Roman" w:cs="Times New Roman"/>
        </w:rPr>
        <w:t xml:space="preserve"> deben ser aprobados en el marco de la próxima sesión del comité sectorial de gestión y desempeño.</w:t>
      </w:r>
    </w:p>
    <w:p w14:paraId="5DFE3FA4" w14:textId="77777777" w:rsidR="00461298" w:rsidRPr="00461298" w:rsidRDefault="00461298" w:rsidP="00CC159B">
      <w:pPr>
        <w:spacing w:after="0" w:line="276" w:lineRule="auto"/>
        <w:jc w:val="both"/>
        <w:rPr>
          <w:rFonts w:ascii="Times New Roman" w:hAnsi="Times New Roman" w:cs="Times New Roman"/>
        </w:rPr>
      </w:pPr>
    </w:p>
    <w:p w14:paraId="7DDC6F6F" w14:textId="50256E4B" w:rsidR="00461298" w:rsidRPr="00461298" w:rsidRDefault="00461298" w:rsidP="00CC159B">
      <w:pPr>
        <w:spacing w:after="0" w:line="276" w:lineRule="auto"/>
        <w:jc w:val="both"/>
        <w:rPr>
          <w:rFonts w:ascii="Times New Roman" w:hAnsi="Times New Roman" w:cs="Times New Roman"/>
        </w:rPr>
      </w:pPr>
      <w:r w:rsidRPr="00461298">
        <w:rPr>
          <w:rFonts w:ascii="Times New Roman" w:hAnsi="Times New Roman" w:cs="Times New Roman"/>
        </w:rPr>
        <w:t>Por otra parte, para tener claridad de un posible escenario de cuantificación de avances para el resultado 2</w:t>
      </w:r>
      <w:r w:rsidR="00B83E84">
        <w:rPr>
          <w:rFonts w:ascii="Times New Roman" w:hAnsi="Times New Roman" w:cs="Times New Roman"/>
        </w:rPr>
        <w:t xml:space="preserve">.1. de la política pública, se proyectaron y remitieron </w:t>
      </w:r>
      <w:r w:rsidRPr="00461298">
        <w:rPr>
          <w:rFonts w:ascii="Times New Roman" w:hAnsi="Times New Roman" w:cs="Times New Roman"/>
        </w:rPr>
        <w:t>dos oficios a la Subsecretaria de Información y Estudios Estratégicos de la Secretaría Distrital de Planeación y a la Dirección de Cultura Ciudadana de la Secretaria Distrital de Cultura, Recreación y Deporte, con el objetivo de plantear la posibilidad de inclusión de unas variables en los instrumentos estadísticos vigentes de estas entidades que permitan cuantificar la evolución en la “percepción positiva de la ciudadanía entorno al reconocimiento y respeto de su libertad de religión, culto y conciencia.”</w:t>
      </w:r>
    </w:p>
    <w:p w14:paraId="0CABF501" w14:textId="77777777" w:rsidR="00461298" w:rsidRPr="00461298" w:rsidRDefault="00461298" w:rsidP="00CC159B">
      <w:pPr>
        <w:spacing w:after="0" w:line="276" w:lineRule="auto"/>
        <w:jc w:val="both"/>
        <w:rPr>
          <w:rFonts w:ascii="Times New Roman" w:hAnsi="Times New Roman" w:cs="Times New Roman"/>
        </w:rPr>
      </w:pPr>
    </w:p>
    <w:p w14:paraId="3BE2EE9F" w14:textId="23BF9826" w:rsidR="00461298" w:rsidRPr="00461298" w:rsidRDefault="00461298" w:rsidP="00CC159B">
      <w:pPr>
        <w:spacing w:after="0" w:line="276" w:lineRule="auto"/>
        <w:jc w:val="both"/>
        <w:rPr>
          <w:rFonts w:ascii="Times New Roman" w:hAnsi="Times New Roman" w:cs="Times New Roman"/>
        </w:rPr>
      </w:pPr>
      <w:r w:rsidRPr="00461298">
        <w:rPr>
          <w:rFonts w:ascii="Times New Roman" w:hAnsi="Times New Roman" w:cs="Times New Roman"/>
        </w:rPr>
        <w:t xml:space="preserve">En tal sentido, </w:t>
      </w:r>
      <w:r w:rsidR="00CC159B">
        <w:rPr>
          <w:rFonts w:ascii="Times New Roman" w:hAnsi="Times New Roman" w:cs="Times New Roman"/>
        </w:rPr>
        <w:t xml:space="preserve">para el segundo semestre se espera </w:t>
      </w:r>
      <w:r w:rsidRPr="00461298">
        <w:rPr>
          <w:rFonts w:ascii="Times New Roman" w:hAnsi="Times New Roman" w:cs="Times New Roman"/>
        </w:rPr>
        <w:t xml:space="preserve">adelantar una reunión con estas entidades para definir la viabilidad técnica en alguno de los instrumentos que permita medir el resultad 2.1. de la política pública. </w:t>
      </w:r>
    </w:p>
    <w:p w14:paraId="0BE919A4" w14:textId="77777777" w:rsidR="00461298" w:rsidRPr="00461298" w:rsidRDefault="00461298" w:rsidP="00CC159B">
      <w:pPr>
        <w:spacing w:after="0" w:line="276" w:lineRule="auto"/>
        <w:jc w:val="both"/>
        <w:rPr>
          <w:rFonts w:ascii="Times New Roman" w:hAnsi="Times New Roman" w:cs="Times New Roman"/>
        </w:rPr>
      </w:pPr>
    </w:p>
    <w:p w14:paraId="7A0F8665" w14:textId="59A39D7B" w:rsidR="00CC159B" w:rsidRDefault="00CC159B" w:rsidP="00CC159B">
      <w:pPr>
        <w:spacing w:after="0" w:line="276" w:lineRule="auto"/>
        <w:jc w:val="both"/>
        <w:rPr>
          <w:rFonts w:ascii="Times New Roman" w:hAnsi="Times New Roman" w:cs="Times New Roman"/>
          <w:color w:val="0070C0"/>
          <w:u w:val="single"/>
        </w:rPr>
      </w:pPr>
      <w:r w:rsidRPr="00CC159B">
        <w:rPr>
          <w:rFonts w:ascii="Times New Roman" w:hAnsi="Times New Roman" w:cs="Times New Roman"/>
          <w:color w:val="0070C0"/>
          <w:u w:val="single"/>
        </w:rPr>
        <w:t>Política Pública para la Lucha contra la Trata de Personas en Bogotá</w:t>
      </w:r>
    </w:p>
    <w:p w14:paraId="70A2455F" w14:textId="77777777"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 xml:space="preserve">La construcción de esta política surge de la necesidad de tener un instrumento de planeación que atienda la lucha contra la trata de personas en Bogotá y en cumplimiento de lo establecido en el Plan Distrital de Desarrollo. </w:t>
      </w:r>
    </w:p>
    <w:p w14:paraId="1C4C2FAC" w14:textId="77777777" w:rsidR="00CC159B" w:rsidRPr="00CC159B" w:rsidRDefault="00CC159B" w:rsidP="00CC159B">
      <w:pPr>
        <w:spacing w:after="0" w:line="276" w:lineRule="auto"/>
        <w:jc w:val="both"/>
        <w:rPr>
          <w:rFonts w:ascii="Times New Roman" w:hAnsi="Times New Roman" w:cs="Times New Roman"/>
        </w:rPr>
      </w:pPr>
    </w:p>
    <w:p w14:paraId="31CD8B2A" w14:textId="49BA411A"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Bajo este panorama, en el 2019 se presentó a la Secretaría Distrital de Planeación el documento de estructuración de política pública el cual fue aprobado</w:t>
      </w:r>
      <w:r>
        <w:rPr>
          <w:rFonts w:ascii="Times New Roman" w:hAnsi="Times New Roman" w:cs="Times New Roman"/>
        </w:rPr>
        <w:t xml:space="preserve"> por esta entidad</w:t>
      </w:r>
      <w:r w:rsidRPr="00CC159B">
        <w:rPr>
          <w:rFonts w:ascii="Times New Roman" w:hAnsi="Times New Roman" w:cs="Times New Roman"/>
        </w:rPr>
        <w:t xml:space="preserve">. Teniendo </w:t>
      </w:r>
      <w:r>
        <w:rPr>
          <w:rFonts w:ascii="Times New Roman" w:hAnsi="Times New Roman" w:cs="Times New Roman"/>
        </w:rPr>
        <w:t xml:space="preserve">en cuenta </w:t>
      </w:r>
      <w:r w:rsidRPr="00CC159B">
        <w:rPr>
          <w:rFonts w:ascii="Times New Roman" w:hAnsi="Times New Roman" w:cs="Times New Roman"/>
        </w:rPr>
        <w:t xml:space="preserve">la viabilidad </w:t>
      </w:r>
      <w:r w:rsidR="00B83E84">
        <w:rPr>
          <w:rFonts w:ascii="Times New Roman" w:hAnsi="Times New Roman" w:cs="Times New Roman"/>
        </w:rPr>
        <w:t>generada</w:t>
      </w:r>
      <w:r>
        <w:rPr>
          <w:rFonts w:ascii="Times New Roman" w:hAnsi="Times New Roman" w:cs="Times New Roman"/>
        </w:rPr>
        <w:t xml:space="preserve"> por parte de </w:t>
      </w:r>
      <w:r w:rsidRPr="00CC159B">
        <w:rPr>
          <w:rFonts w:ascii="Times New Roman" w:hAnsi="Times New Roman" w:cs="Times New Roman"/>
        </w:rPr>
        <w:t xml:space="preserve">la SDP, desde la Secretaría de Gobierno se lideró la construcción de la agenda pública, la cual se caracterizó por un proceso amplio de participación. </w:t>
      </w:r>
    </w:p>
    <w:p w14:paraId="35608E25" w14:textId="77777777" w:rsidR="00CC159B" w:rsidRPr="00CC159B" w:rsidRDefault="00CC159B" w:rsidP="00CC159B">
      <w:pPr>
        <w:spacing w:after="0" w:line="276" w:lineRule="auto"/>
        <w:jc w:val="both"/>
        <w:rPr>
          <w:rFonts w:ascii="Times New Roman" w:hAnsi="Times New Roman" w:cs="Times New Roman"/>
        </w:rPr>
      </w:pPr>
    </w:p>
    <w:p w14:paraId="5439EAA5" w14:textId="60B64197"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 xml:space="preserve">En el marco del nuevo Plan de Desarrollo Distrital esta propuesta de política pública quedó como una meta a cargo de la Secretaría Distrital de Gobierno, </w:t>
      </w:r>
      <w:r w:rsidR="00B83E84">
        <w:rPr>
          <w:rFonts w:ascii="Times New Roman" w:hAnsi="Times New Roman" w:cs="Times New Roman"/>
        </w:rPr>
        <w:t>por lo</w:t>
      </w:r>
      <w:r w:rsidRPr="00CC159B">
        <w:rPr>
          <w:rFonts w:ascii="Times New Roman" w:hAnsi="Times New Roman" w:cs="Times New Roman"/>
        </w:rPr>
        <w:t xml:space="preserve"> cual se da continuidad al ejercicio que se venía adelantado desde la anterior administración. Adicionalmente, el artículo 143 del Acuerdo Distrital 761 de 2020 establece el periodo de 1 año para la formulación e implementación de esta política. </w:t>
      </w:r>
    </w:p>
    <w:p w14:paraId="4CEBA78A" w14:textId="77777777" w:rsidR="00CC159B" w:rsidRPr="00CC159B" w:rsidRDefault="00CC159B" w:rsidP="00CC159B">
      <w:pPr>
        <w:spacing w:after="0" w:line="276" w:lineRule="auto"/>
        <w:jc w:val="both"/>
        <w:rPr>
          <w:rFonts w:ascii="Times New Roman" w:hAnsi="Times New Roman" w:cs="Times New Roman"/>
        </w:rPr>
      </w:pPr>
    </w:p>
    <w:p w14:paraId="07872CAE" w14:textId="75BA7B99"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 xml:space="preserve">Al respecto, resulta oportuno indicar que la anterior administración dejó una primera versión del documento de diagnóstico y factores estratégicos (producto de la fase de agenda pública del ciclo de políticas públicas) el cual ha sido reconstruido por el equipo de formulación de esta política pública. </w:t>
      </w:r>
      <w:r w:rsidR="007C2452">
        <w:rPr>
          <w:rFonts w:ascii="Times New Roman" w:hAnsi="Times New Roman" w:cs="Times New Roman"/>
        </w:rPr>
        <w:t xml:space="preserve">En este momento se encuentra en revisión por parte </w:t>
      </w:r>
      <w:r w:rsidR="00423AAE">
        <w:rPr>
          <w:rFonts w:ascii="Times New Roman" w:hAnsi="Times New Roman" w:cs="Times New Roman"/>
        </w:rPr>
        <w:t xml:space="preserve">de </w:t>
      </w:r>
      <w:r w:rsidR="00423AAE" w:rsidRPr="00CC159B">
        <w:rPr>
          <w:rFonts w:ascii="Times New Roman" w:hAnsi="Times New Roman" w:cs="Times New Roman"/>
        </w:rPr>
        <w:t>los</w:t>
      </w:r>
      <w:r w:rsidR="007C2452">
        <w:rPr>
          <w:rFonts w:ascii="Times New Roman" w:hAnsi="Times New Roman" w:cs="Times New Roman"/>
        </w:rPr>
        <w:t xml:space="preserve"> profesionales de la </w:t>
      </w:r>
      <w:r>
        <w:rPr>
          <w:rFonts w:ascii="Times New Roman" w:hAnsi="Times New Roman" w:cs="Times New Roman"/>
        </w:rPr>
        <w:t xml:space="preserve">Oficina Asesora de Planeación. </w:t>
      </w:r>
    </w:p>
    <w:p w14:paraId="67C9D6FD" w14:textId="6E42E540" w:rsidR="00CC159B" w:rsidRDefault="00CC159B" w:rsidP="00CC159B">
      <w:pPr>
        <w:spacing w:after="0" w:line="276" w:lineRule="auto"/>
        <w:jc w:val="both"/>
        <w:rPr>
          <w:rFonts w:ascii="Times New Roman" w:hAnsi="Times New Roman" w:cs="Times New Roman"/>
        </w:rPr>
      </w:pPr>
    </w:p>
    <w:p w14:paraId="1761B8F2" w14:textId="1B00D696" w:rsidR="00423AAE" w:rsidRDefault="00423AAE" w:rsidP="00CC159B">
      <w:pPr>
        <w:spacing w:after="0" w:line="276" w:lineRule="auto"/>
        <w:jc w:val="both"/>
        <w:rPr>
          <w:rFonts w:ascii="Times New Roman" w:hAnsi="Times New Roman" w:cs="Times New Roman"/>
        </w:rPr>
      </w:pPr>
    </w:p>
    <w:p w14:paraId="0A34F497" w14:textId="77777777" w:rsidR="00423AAE" w:rsidRPr="00CC159B" w:rsidRDefault="00423AAE" w:rsidP="00CC159B">
      <w:pPr>
        <w:spacing w:after="0" w:line="276" w:lineRule="auto"/>
        <w:jc w:val="both"/>
        <w:rPr>
          <w:rFonts w:ascii="Times New Roman" w:hAnsi="Times New Roman" w:cs="Times New Roman"/>
        </w:rPr>
      </w:pPr>
    </w:p>
    <w:p w14:paraId="0829E848" w14:textId="06866507" w:rsidR="00CC159B" w:rsidRDefault="00CC159B" w:rsidP="00CC159B">
      <w:pPr>
        <w:spacing w:after="0" w:line="276" w:lineRule="auto"/>
        <w:jc w:val="both"/>
        <w:rPr>
          <w:rFonts w:ascii="Times New Roman" w:hAnsi="Times New Roman" w:cs="Times New Roman"/>
          <w:color w:val="0070C0"/>
          <w:u w:val="single"/>
        </w:rPr>
      </w:pPr>
      <w:r w:rsidRPr="00CC159B">
        <w:rPr>
          <w:rFonts w:ascii="Times New Roman" w:hAnsi="Times New Roman" w:cs="Times New Roman"/>
          <w:color w:val="0070C0"/>
          <w:u w:val="single"/>
        </w:rPr>
        <w:t>Política Pública de Discapacidad para el Distrito Capital</w:t>
      </w:r>
    </w:p>
    <w:p w14:paraId="09434DB8" w14:textId="77777777" w:rsidR="00F33518" w:rsidRDefault="00F33518" w:rsidP="00CC159B">
      <w:pPr>
        <w:spacing w:after="0" w:line="276" w:lineRule="auto"/>
        <w:jc w:val="both"/>
        <w:rPr>
          <w:rFonts w:ascii="Times New Roman" w:hAnsi="Times New Roman" w:cs="Times New Roman"/>
        </w:rPr>
      </w:pPr>
    </w:p>
    <w:p w14:paraId="796AAB1D" w14:textId="31AB0749"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A partir del 2020, la Subsecretaría para la gobernabilidad y</w:t>
      </w:r>
      <w:r>
        <w:rPr>
          <w:rFonts w:ascii="Times New Roman" w:hAnsi="Times New Roman" w:cs="Times New Roman"/>
        </w:rPr>
        <w:t xml:space="preserve"> la</w:t>
      </w:r>
      <w:r w:rsidRPr="00CC159B">
        <w:rPr>
          <w:rFonts w:ascii="Times New Roman" w:hAnsi="Times New Roman" w:cs="Times New Roman"/>
        </w:rPr>
        <w:t xml:space="preserve"> garantía de derechos de la Secretaría Distrital de Gobierno asumió la secretaría técnica del sistema distrital de discapacidad. En el marco de esta instancia, el rol de la secretaría técnica corresponde a</w:t>
      </w:r>
      <w:r>
        <w:rPr>
          <w:rFonts w:ascii="Times New Roman" w:hAnsi="Times New Roman" w:cs="Times New Roman"/>
        </w:rPr>
        <w:t xml:space="preserve"> </w:t>
      </w:r>
      <w:r w:rsidRPr="00CC159B">
        <w:rPr>
          <w:rFonts w:ascii="Times New Roman" w:hAnsi="Times New Roman" w:cs="Times New Roman"/>
        </w:rPr>
        <w:t xml:space="preserve">dar soporte en cualquier tipo de recurso </w:t>
      </w:r>
      <w:r>
        <w:rPr>
          <w:rFonts w:ascii="Times New Roman" w:hAnsi="Times New Roman" w:cs="Times New Roman"/>
        </w:rPr>
        <w:t xml:space="preserve">(físico, humano, financiero…etc.) </w:t>
      </w:r>
      <w:r w:rsidRPr="00CC159B">
        <w:rPr>
          <w:rFonts w:ascii="Times New Roman" w:hAnsi="Times New Roman" w:cs="Times New Roman"/>
        </w:rPr>
        <w:t xml:space="preserve">a la política pública de discapacidad. </w:t>
      </w:r>
    </w:p>
    <w:p w14:paraId="0C337232" w14:textId="77777777" w:rsidR="00CC159B" w:rsidRPr="00CC159B" w:rsidRDefault="00CC159B" w:rsidP="00CC159B">
      <w:pPr>
        <w:spacing w:after="0" w:line="276" w:lineRule="auto"/>
        <w:jc w:val="both"/>
        <w:rPr>
          <w:rFonts w:ascii="Times New Roman" w:hAnsi="Times New Roman" w:cs="Times New Roman"/>
        </w:rPr>
      </w:pPr>
    </w:p>
    <w:p w14:paraId="2CB0A8FB" w14:textId="735E89A3"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 xml:space="preserve">Ahora, referente a la política pública, esta fue adoptada mediante el </w:t>
      </w:r>
      <w:r>
        <w:rPr>
          <w:rFonts w:ascii="Times New Roman" w:hAnsi="Times New Roman" w:cs="Times New Roman"/>
        </w:rPr>
        <w:t>A</w:t>
      </w:r>
      <w:r w:rsidRPr="00CC159B">
        <w:rPr>
          <w:rFonts w:ascii="Times New Roman" w:hAnsi="Times New Roman" w:cs="Times New Roman"/>
        </w:rPr>
        <w:t xml:space="preserve">cuerdo </w:t>
      </w:r>
      <w:r>
        <w:rPr>
          <w:rFonts w:ascii="Times New Roman" w:hAnsi="Times New Roman" w:cs="Times New Roman"/>
        </w:rPr>
        <w:t>D</w:t>
      </w:r>
      <w:r w:rsidRPr="00CC159B">
        <w:rPr>
          <w:rFonts w:ascii="Times New Roman" w:hAnsi="Times New Roman" w:cs="Times New Roman"/>
        </w:rPr>
        <w:t xml:space="preserve">istrital 470 de 2007 y actualmente cuenta con un plan de acción vigente hasta el año 2020. Bajo este escenario y teniendo en cuenta que la política se encuentra cercana a su finalización, desde el año 2019 se viene adelantado </w:t>
      </w:r>
      <w:r w:rsidR="00C84E09">
        <w:rPr>
          <w:rFonts w:ascii="Times New Roman" w:hAnsi="Times New Roman" w:cs="Times New Roman"/>
        </w:rPr>
        <w:t>un</w:t>
      </w:r>
      <w:r w:rsidRPr="00CC159B">
        <w:rPr>
          <w:rFonts w:ascii="Times New Roman" w:hAnsi="Times New Roman" w:cs="Times New Roman"/>
        </w:rPr>
        <w:t xml:space="preserve"> proceso de re-formulación</w:t>
      </w:r>
      <w:r w:rsidR="00F33518">
        <w:rPr>
          <w:rFonts w:ascii="Times New Roman" w:hAnsi="Times New Roman" w:cs="Times New Roman"/>
        </w:rPr>
        <w:t xml:space="preserve">, </w:t>
      </w:r>
      <w:r w:rsidRPr="00CC159B">
        <w:rPr>
          <w:rFonts w:ascii="Times New Roman" w:hAnsi="Times New Roman" w:cs="Times New Roman"/>
        </w:rPr>
        <w:t xml:space="preserve">producto del cual se cuenta con documento de estructuración aprobado por la secretaría técnica del CONPES y, se encuentra en la elaboración de documento de diagnóstico y factores estratégicos correspondiente a la fase de agenda pública del ciclo de política. </w:t>
      </w:r>
    </w:p>
    <w:p w14:paraId="104F5D3C" w14:textId="77777777" w:rsidR="00CC159B" w:rsidRPr="00CC159B" w:rsidRDefault="00CC159B" w:rsidP="00CC159B">
      <w:pPr>
        <w:spacing w:after="0" w:line="276" w:lineRule="auto"/>
        <w:jc w:val="both"/>
        <w:rPr>
          <w:rFonts w:ascii="Times New Roman" w:hAnsi="Times New Roman" w:cs="Times New Roman"/>
        </w:rPr>
      </w:pPr>
    </w:p>
    <w:p w14:paraId="4FB8752D" w14:textId="77777777" w:rsidR="00CC159B" w:rsidRPr="00CC159B"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 xml:space="preserve">De esta manera, el equipo de formulación de la política se encuentra adelantando el proceso de participación con la población objeto y, de manera complementaria, la elaboración del documento propio de la fase del ciclo en desarrollo. </w:t>
      </w:r>
    </w:p>
    <w:p w14:paraId="727429E5" w14:textId="77777777" w:rsidR="00CC159B" w:rsidRPr="00CC159B" w:rsidRDefault="00CC159B" w:rsidP="00CC159B">
      <w:pPr>
        <w:spacing w:after="0" w:line="276" w:lineRule="auto"/>
        <w:jc w:val="both"/>
        <w:rPr>
          <w:rFonts w:ascii="Times New Roman" w:hAnsi="Times New Roman" w:cs="Times New Roman"/>
        </w:rPr>
      </w:pPr>
    </w:p>
    <w:p w14:paraId="17CD5546" w14:textId="6CCA8DB3" w:rsidR="00F33518" w:rsidRDefault="00CC159B" w:rsidP="00CC159B">
      <w:pPr>
        <w:spacing w:after="0" w:line="276" w:lineRule="auto"/>
        <w:jc w:val="both"/>
        <w:rPr>
          <w:rFonts w:ascii="Times New Roman" w:hAnsi="Times New Roman" w:cs="Times New Roman"/>
        </w:rPr>
      </w:pPr>
      <w:r w:rsidRPr="00CC159B">
        <w:rPr>
          <w:rFonts w:ascii="Times New Roman" w:hAnsi="Times New Roman" w:cs="Times New Roman"/>
        </w:rPr>
        <w:t xml:space="preserve">Por otra parte, desde la Secretaría Distrital de Planeación se ha definido una metodología que permita garantizar la continuidad del plan de acción de esta política hasta que se adopte la nueva política en el marco del CONPES y dando cumplimiento a la guía para la formulación e implementación de políticas públicas del distrito. </w:t>
      </w:r>
      <w:r w:rsidR="00F33518">
        <w:rPr>
          <w:rFonts w:ascii="Times New Roman" w:hAnsi="Times New Roman" w:cs="Times New Roman"/>
        </w:rPr>
        <w:t xml:space="preserve">Esta metodología tiene como propósito identificar y priorizar acciones de política pública para el 2° semestre de la vigencia 2020 y tentativamente para la vigencia 2021, lo anterior, a partir de un análisis de efectividad y garantía de derechos de los productos vigentes en las políticas públicas. </w:t>
      </w:r>
    </w:p>
    <w:p w14:paraId="197AC303" w14:textId="77777777" w:rsidR="00F33518" w:rsidRDefault="00F33518" w:rsidP="00CC159B">
      <w:pPr>
        <w:spacing w:after="0" w:line="276" w:lineRule="auto"/>
        <w:jc w:val="both"/>
        <w:rPr>
          <w:rFonts w:ascii="Times New Roman" w:hAnsi="Times New Roman" w:cs="Times New Roman"/>
        </w:rPr>
      </w:pPr>
    </w:p>
    <w:p w14:paraId="221942FF" w14:textId="181213C5" w:rsidR="00F97AE4" w:rsidRPr="00357AF5" w:rsidRDefault="00F97AE4" w:rsidP="00CC159B">
      <w:pPr>
        <w:spacing w:after="0" w:line="276" w:lineRule="auto"/>
        <w:jc w:val="both"/>
        <w:rPr>
          <w:rFonts w:ascii="Times New Roman" w:hAnsi="Times New Roman" w:cs="Times New Roman"/>
          <w:color w:val="0070C0"/>
          <w:u w:val="single"/>
        </w:rPr>
      </w:pPr>
      <w:r w:rsidRPr="00357AF5">
        <w:rPr>
          <w:rFonts w:ascii="Times New Roman" w:hAnsi="Times New Roman" w:cs="Times New Roman"/>
          <w:color w:val="0070C0"/>
          <w:u w:val="single"/>
        </w:rPr>
        <w:t>Cuatro Políticas Públicas de Poblaciones Étnicas</w:t>
      </w:r>
    </w:p>
    <w:p w14:paraId="3E2BF160" w14:textId="77777777" w:rsidR="000F7900" w:rsidRDefault="000F7900" w:rsidP="00CC159B">
      <w:pPr>
        <w:spacing w:after="0" w:line="276" w:lineRule="auto"/>
        <w:jc w:val="both"/>
        <w:rPr>
          <w:rFonts w:ascii="Times New Roman" w:hAnsi="Times New Roman" w:cs="Times New Roman"/>
          <w:u w:val="single"/>
        </w:rPr>
      </w:pPr>
    </w:p>
    <w:p w14:paraId="7DD6FB7E" w14:textId="77777777" w:rsidR="00BD1F68" w:rsidRDefault="00F97AE4" w:rsidP="00CC159B">
      <w:pPr>
        <w:spacing w:after="0" w:line="276" w:lineRule="auto"/>
        <w:jc w:val="both"/>
        <w:rPr>
          <w:rFonts w:ascii="Times New Roman" w:eastAsia="Times New Roman" w:hAnsi="Times New Roman" w:cs="Times New Roman"/>
          <w:color w:val="000000"/>
          <w:lang w:eastAsia="es-CO"/>
        </w:rPr>
      </w:pPr>
      <w:r>
        <w:rPr>
          <w:rFonts w:ascii="Times New Roman" w:hAnsi="Times New Roman" w:cs="Times New Roman"/>
        </w:rPr>
        <w:t>La Secretaria Distrital de G</w:t>
      </w:r>
      <w:r w:rsidRPr="00F55531">
        <w:rPr>
          <w:rFonts w:ascii="Times New Roman" w:hAnsi="Times New Roman" w:cs="Times New Roman"/>
        </w:rPr>
        <w:t>obierno como entidad que lidera la implementación de la</w:t>
      </w:r>
      <w:r>
        <w:rPr>
          <w:rFonts w:ascii="Times New Roman" w:hAnsi="Times New Roman" w:cs="Times New Roman"/>
        </w:rPr>
        <w:t>s políticas públicas de poblaciones</w:t>
      </w:r>
      <w:r w:rsidRPr="00F55531">
        <w:rPr>
          <w:rFonts w:ascii="Times New Roman" w:hAnsi="Times New Roman" w:cs="Times New Roman"/>
        </w:rPr>
        <w:t xml:space="preserve"> étnicas en el Distrito</w:t>
      </w:r>
      <w:r>
        <w:rPr>
          <w:rFonts w:ascii="Times New Roman" w:hAnsi="Times New Roman" w:cs="Times New Roman"/>
        </w:rPr>
        <w:t xml:space="preserve"> a través de la Subdirección de Asuntos Étnicos -SAE</w:t>
      </w:r>
      <w:r w:rsidRPr="00F55531">
        <w:rPr>
          <w:rFonts w:ascii="Times New Roman" w:hAnsi="Times New Roman" w:cs="Times New Roman"/>
        </w:rPr>
        <w:t>, estableció como meta del Plan Distrital de Desarrollo la formulación de tres Planes Integrales de Acciones Afirmati</w:t>
      </w:r>
      <w:r>
        <w:rPr>
          <w:rFonts w:ascii="Times New Roman" w:hAnsi="Times New Roman" w:cs="Times New Roman"/>
        </w:rPr>
        <w:t>vas -PIAA. En este sentido</w:t>
      </w:r>
      <w:r w:rsidRPr="00F55531">
        <w:rPr>
          <w:rFonts w:ascii="Times New Roman" w:hAnsi="Times New Roman" w:cs="Times New Roman"/>
        </w:rPr>
        <w:t xml:space="preserve"> e</w:t>
      </w:r>
      <w:r>
        <w:rPr>
          <w:rFonts w:ascii="Times New Roman" w:hAnsi="Times New Roman" w:cs="Times New Roman"/>
        </w:rPr>
        <w:t>n e</w:t>
      </w:r>
      <w:r w:rsidRPr="00F55531">
        <w:rPr>
          <w:rFonts w:ascii="Times New Roman" w:hAnsi="Times New Roman" w:cs="Times New Roman"/>
        </w:rPr>
        <w:t>l</w:t>
      </w:r>
      <w:r>
        <w:rPr>
          <w:rFonts w:ascii="Times New Roman" w:hAnsi="Times New Roman" w:cs="Times New Roman"/>
        </w:rPr>
        <w:t xml:space="preserve"> año</w:t>
      </w:r>
      <w:r w:rsidRPr="00F55531">
        <w:rPr>
          <w:rFonts w:ascii="Times New Roman" w:hAnsi="Times New Roman" w:cs="Times New Roman"/>
        </w:rPr>
        <w:t xml:space="preserve"> 2016</w:t>
      </w:r>
      <w:r>
        <w:rPr>
          <w:rFonts w:ascii="Times New Roman" w:hAnsi="Times New Roman" w:cs="Times New Roman"/>
        </w:rPr>
        <w:t>,</w:t>
      </w:r>
      <w:r w:rsidRPr="00F55531">
        <w:rPr>
          <w:rFonts w:ascii="Times New Roman" w:hAnsi="Times New Roman" w:cs="Times New Roman"/>
        </w:rPr>
        <w:t xml:space="preserve"> la SAE </w:t>
      </w:r>
      <w:r>
        <w:rPr>
          <w:rFonts w:ascii="Times New Roman" w:hAnsi="Times New Roman" w:cs="Times New Roman"/>
        </w:rPr>
        <w:t xml:space="preserve">coordinó </w:t>
      </w:r>
      <w:r w:rsidRPr="00F55531">
        <w:rPr>
          <w:rFonts w:ascii="Times New Roman" w:hAnsi="Times New Roman" w:cs="Times New Roman"/>
        </w:rPr>
        <w:t>con las entidades corre</w:t>
      </w:r>
      <w:r w:rsidRPr="0008332D">
        <w:rPr>
          <w:rFonts w:ascii="Times New Roman" w:hAnsi="Times New Roman" w:cs="Times New Roman"/>
        </w:rPr>
        <w:t>sponsables y las diferentes poblaciones la realización de los espacios de formulación de los PIAA. En el año 2017 se aprueban cuatro PIAA a través de los Decretos 504</w:t>
      </w:r>
      <w:r w:rsidR="0008332D" w:rsidRPr="0008332D">
        <w:rPr>
          <w:rFonts w:ascii="Times New Roman" w:hAnsi="Times New Roman" w:cs="Times New Roman"/>
        </w:rPr>
        <w:t xml:space="preserve"> (Indígenas)</w:t>
      </w:r>
      <w:r w:rsidRPr="0008332D">
        <w:rPr>
          <w:rFonts w:ascii="Times New Roman" w:hAnsi="Times New Roman" w:cs="Times New Roman"/>
        </w:rPr>
        <w:t>, 505</w:t>
      </w:r>
      <w:r w:rsidR="0008332D" w:rsidRPr="0008332D">
        <w:rPr>
          <w:rFonts w:ascii="Times New Roman" w:hAnsi="Times New Roman" w:cs="Times New Roman"/>
        </w:rPr>
        <w:t xml:space="preserve"> (Rrom)</w:t>
      </w:r>
      <w:r w:rsidRPr="0008332D">
        <w:rPr>
          <w:rFonts w:ascii="Times New Roman" w:hAnsi="Times New Roman" w:cs="Times New Roman"/>
        </w:rPr>
        <w:t>, 506</w:t>
      </w:r>
      <w:r w:rsidR="0008332D" w:rsidRPr="0008332D">
        <w:rPr>
          <w:rFonts w:ascii="Times New Roman" w:hAnsi="Times New Roman" w:cs="Times New Roman"/>
        </w:rPr>
        <w:t xml:space="preserve"> (Raizal)</w:t>
      </w:r>
      <w:r w:rsidRPr="0008332D">
        <w:rPr>
          <w:rFonts w:ascii="Times New Roman" w:hAnsi="Times New Roman" w:cs="Times New Roman"/>
        </w:rPr>
        <w:t xml:space="preserve"> y 507</w:t>
      </w:r>
      <w:r w:rsidR="0008332D">
        <w:rPr>
          <w:rFonts w:ascii="Times New Roman" w:hAnsi="Times New Roman" w:cs="Times New Roman"/>
        </w:rPr>
        <w:t xml:space="preserve"> (Afrodescendiente)</w:t>
      </w:r>
      <w:r>
        <w:rPr>
          <w:rFonts w:ascii="Times New Roman" w:hAnsi="Times New Roman" w:cs="Times New Roman"/>
        </w:rPr>
        <w:t xml:space="preserve">. </w:t>
      </w:r>
      <w:r w:rsidRPr="00F55531">
        <w:rPr>
          <w:rFonts w:ascii="Times New Roman" w:hAnsi="Times New Roman" w:cs="Times New Roman"/>
        </w:rPr>
        <w:t>Actualmente la SAE realiza seguimiento continuo a la implementación de los PIAA a los diferentes sectores administrativos</w:t>
      </w:r>
      <w:r>
        <w:rPr>
          <w:rFonts w:ascii="Times New Roman" w:hAnsi="Times New Roman" w:cs="Times New Roman"/>
        </w:rPr>
        <w:t xml:space="preserve">. Con esto, se puede afirmar que se cumplió la meta establecida en el </w:t>
      </w:r>
      <w:r>
        <w:rPr>
          <w:rFonts w:ascii="Times New Roman" w:eastAsia="Times New Roman" w:hAnsi="Times New Roman" w:cs="Times New Roman"/>
          <w:color w:val="000000"/>
          <w:lang w:eastAsia="es-CO"/>
        </w:rPr>
        <w:t xml:space="preserve">Plan Distrital de Desarrollo. </w:t>
      </w:r>
      <w:r w:rsidR="00D26C80">
        <w:rPr>
          <w:rFonts w:ascii="Times New Roman" w:eastAsia="Times New Roman" w:hAnsi="Times New Roman" w:cs="Times New Roman"/>
          <w:color w:val="000000"/>
          <w:lang w:eastAsia="es-CO"/>
        </w:rPr>
        <w:t xml:space="preserve">A </w:t>
      </w:r>
      <w:r w:rsidR="00912257">
        <w:rPr>
          <w:rFonts w:ascii="Times New Roman" w:eastAsia="Times New Roman" w:hAnsi="Times New Roman" w:cs="Times New Roman"/>
          <w:color w:val="000000"/>
          <w:lang w:eastAsia="es-CO"/>
        </w:rPr>
        <w:t>continuación,</w:t>
      </w:r>
      <w:r w:rsidR="00D26C80">
        <w:rPr>
          <w:rFonts w:ascii="Times New Roman" w:eastAsia="Times New Roman" w:hAnsi="Times New Roman" w:cs="Times New Roman"/>
          <w:color w:val="000000"/>
          <w:lang w:eastAsia="es-CO"/>
        </w:rPr>
        <w:t xml:space="preserve"> se </w:t>
      </w:r>
      <w:r w:rsidR="00BD1F68">
        <w:rPr>
          <w:rFonts w:ascii="Times New Roman" w:eastAsia="Times New Roman" w:hAnsi="Times New Roman" w:cs="Times New Roman"/>
          <w:color w:val="000000"/>
          <w:lang w:eastAsia="es-CO"/>
        </w:rPr>
        <w:t>presentan el número de acciones que contiene cada PIAA.</w:t>
      </w:r>
    </w:p>
    <w:p w14:paraId="7ABD1EC5" w14:textId="48BC56F2" w:rsidR="00BD1F68" w:rsidRDefault="00BD1F68" w:rsidP="00CC159B">
      <w:pPr>
        <w:spacing w:after="0" w:line="276" w:lineRule="auto"/>
        <w:jc w:val="both"/>
        <w:rPr>
          <w:rFonts w:ascii="Times New Roman" w:eastAsia="Times New Roman" w:hAnsi="Times New Roman" w:cs="Times New Roman"/>
          <w:color w:val="000000"/>
          <w:lang w:eastAsia="es-CO"/>
        </w:rPr>
      </w:pPr>
    </w:p>
    <w:p w14:paraId="7C606737" w14:textId="19649900" w:rsidR="00F33518" w:rsidRDefault="00F33518" w:rsidP="00CC159B">
      <w:pPr>
        <w:spacing w:after="0" w:line="276" w:lineRule="auto"/>
        <w:jc w:val="both"/>
        <w:rPr>
          <w:rFonts w:ascii="Times New Roman" w:eastAsia="Times New Roman" w:hAnsi="Times New Roman" w:cs="Times New Roman"/>
          <w:color w:val="000000"/>
          <w:lang w:eastAsia="es-CO"/>
        </w:rPr>
      </w:pPr>
    </w:p>
    <w:p w14:paraId="434E5DC1" w14:textId="77777777" w:rsidR="00F33518" w:rsidRDefault="00F33518" w:rsidP="00CC159B">
      <w:pPr>
        <w:spacing w:after="0" w:line="276" w:lineRule="auto"/>
        <w:jc w:val="both"/>
        <w:rPr>
          <w:rFonts w:ascii="Times New Roman" w:eastAsia="Times New Roman" w:hAnsi="Times New Roman" w:cs="Times New Roman"/>
          <w:color w:val="000000"/>
          <w:lang w:eastAsia="es-CO"/>
        </w:rPr>
      </w:pPr>
    </w:p>
    <w:tbl>
      <w:tblPr>
        <w:tblStyle w:val="TableGrid"/>
        <w:tblW w:w="0" w:type="auto"/>
        <w:tblLook w:val="04A0" w:firstRow="1" w:lastRow="0" w:firstColumn="1" w:lastColumn="0" w:noHBand="0" w:noVBand="1"/>
      </w:tblPr>
      <w:tblGrid>
        <w:gridCol w:w="536"/>
        <w:gridCol w:w="2720"/>
        <w:gridCol w:w="1410"/>
        <w:gridCol w:w="1238"/>
        <w:gridCol w:w="1639"/>
        <w:gridCol w:w="1285"/>
      </w:tblGrid>
      <w:tr w:rsidR="003F441B" w:rsidRPr="003F441B" w14:paraId="7104DC3E" w14:textId="77777777" w:rsidTr="00F33518">
        <w:tc>
          <w:tcPr>
            <w:tcW w:w="536" w:type="dxa"/>
            <w:shd w:val="clear" w:color="auto" w:fill="D9D9D9" w:themeFill="background1" w:themeFillShade="D9"/>
            <w:vAlign w:val="center"/>
          </w:tcPr>
          <w:p w14:paraId="7DC848B3" w14:textId="0DD81C0E" w:rsidR="00BD1F68" w:rsidRPr="003F441B" w:rsidRDefault="00BD1F68" w:rsidP="00F33518">
            <w:pPr>
              <w:spacing w:line="276" w:lineRule="auto"/>
              <w:jc w:val="center"/>
              <w:rPr>
                <w:rFonts w:ascii="Times New Roman" w:hAnsi="Times New Roman" w:cs="Times New Roman"/>
                <w:b/>
                <w:sz w:val="20"/>
                <w:szCs w:val="20"/>
              </w:rPr>
            </w:pPr>
            <w:r w:rsidRPr="003F441B">
              <w:rPr>
                <w:rFonts w:ascii="Times New Roman" w:hAnsi="Times New Roman" w:cs="Times New Roman"/>
                <w:b/>
                <w:sz w:val="20"/>
                <w:szCs w:val="20"/>
              </w:rPr>
              <w:t>No.</w:t>
            </w:r>
          </w:p>
        </w:tc>
        <w:tc>
          <w:tcPr>
            <w:tcW w:w="2720" w:type="dxa"/>
            <w:shd w:val="clear" w:color="auto" w:fill="D9D9D9" w:themeFill="background1" w:themeFillShade="D9"/>
            <w:vAlign w:val="center"/>
          </w:tcPr>
          <w:p w14:paraId="0799EC53" w14:textId="1A96B90E" w:rsidR="00BD1F68" w:rsidRPr="003F441B" w:rsidRDefault="00BD1F68" w:rsidP="00F33518">
            <w:pPr>
              <w:spacing w:line="276" w:lineRule="auto"/>
              <w:jc w:val="center"/>
              <w:rPr>
                <w:rFonts w:ascii="Times New Roman" w:hAnsi="Times New Roman" w:cs="Times New Roman"/>
                <w:b/>
                <w:sz w:val="20"/>
                <w:szCs w:val="20"/>
              </w:rPr>
            </w:pPr>
            <w:r w:rsidRPr="003F441B">
              <w:rPr>
                <w:rFonts w:ascii="Times New Roman" w:hAnsi="Times New Roman" w:cs="Times New Roman"/>
                <w:b/>
                <w:sz w:val="20"/>
                <w:szCs w:val="20"/>
              </w:rPr>
              <w:t>Política Pública</w:t>
            </w:r>
          </w:p>
        </w:tc>
        <w:tc>
          <w:tcPr>
            <w:tcW w:w="1410" w:type="dxa"/>
            <w:shd w:val="clear" w:color="auto" w:fill="D9D9D9" w:themeFill="background1" w:themeFillShade="D9"/>
            <w:vAlign w:val="center"/>
          </w:tcPr>
          <w:p w14:paraId="370BD1D8" w14:textId="54E21B7B" w:rsidR="00BD1F68" w:rsidRPr="003F441B" w:rsidRDefault="00BD1F68" w:rsidP="00F33518">
            <w:pPr>
              <w:spacing w:line="276" w:lineRule="auto"/>
              <w:jc w:val="center"/>
              <w:rPr>
                <w:rFonts w:ascii="Times New Roman" w:hAnsi="Times New Roman" w:cs="Times New Roman"/>
                <w:b/>
                <w:sz w:val="20"/>
                <w:szCs w:val="20"/>
              </w:rPr>
            </w:pPr>
            <w:r w:rsidRPr="003F441B">
              <w:rPr>
                <w:rFonts w:ascii="Times New Roman" w:hAnsi="Times New Roman" w:cs="Times New Roman"/>
                <w:b/>
                <w:sz w:val="20"/>
                <w:szCs w:val="20"/>
              </w:rPr>
              <w:t>Decreto que adopta el PIAA</w:t>
            </w:r>
          </w:p>
        </w:tc>
        <w:tc>
          <w:tcPr>
            <w:tcW w:w="1238" w:type="dxa"/>
            <w:shd w:val="clear" w:color="auto" w:fill="D9D9D9" w:themeFill="background1" w:themeFillShade="D9"/>
            <w:vAlign w:val="center"/>
          </w:tcPr>
          <w:p w14:paraId="5B7E0CF4" w14:textId="0E479B51" w:rsidR="00BD1F68" w:rsidRPr="003F441B" w:rsidRDefault="00BD1F68" w:rsidP="00F33518">
            <w:pPr>
              <w:spacing w:line="276" w:lineRule="auto"/>
              <w:jc w:val="center"/>
              <w:rPr>
                <w:rFonts w:ascii="Times New Roman" w:hAnsi="Times New Roman" w:cs="Times New Roman"/>
                <w:b/>
                <w:sz w:val="20"/>
                <w:szCs w:val="20"/>
              </w:rPr>
            </w:pPr>
            <w:r w:rsidRPr="003F441B">
              <w:rPr>
                <w:rFonts w:ascii="Times New Roman" w:hAnsi="Times New Roman" w:cs="Times New Roman"/>
                <w:b/>
                <w:sz w:val="20"/>
                <w:szCs w:val="20"/>
              </w:rPr>
              <w:t>No. de Acciones Afirmativas</w:t>
            </w:r>
          </w:p>
        </w:tc>
        <w:tc>
          <w:tcPr>
            <w:tcW w:w="1639" w:type="dxa"/>
            <w:shd w:val="clear" w:color="auto" w:fill="D9D9D9" w:themeFill="background1" w:themeFillShade="D9"/>
            <w:vAlign w:val="center"/>
          </w:tcPr>
          <w:p w14:paraId="0DC3E368" w14:textId="7A94D06F" w:rsidR="00BD1F68" w:rsidRPr="003F441B" w:rsidRDefault="00BD1F68" w:rsidP="00F33518">
            <w:pPr>
              <w:spacing w:line="276" w:lineRule="auto"/>
              <w:jc w:val="center"/>
              <w:rPr>
                <w:rFonts w:ascii="Times New Roman" w:hAnsi="Times New Roman" w:cs="Times New Roman"/>
                <w:b/>
                <w:sz w:val="20"/>
                <w:szCs w:val="20"/>
              </w:rPr>
            </w:pPr>
            <w:r w:rsidRPr="003F441B">
              <w:rPr>
                <w:rFonts w:ascii="Times New Roman" w:hAnsi="Times New Roman" w:cs="Times New Roman"/>
                <w:b/>
                <w:sz w:val="20"/>
                <w:szCs w:val="20"/>
              </w:rPr>
              <w:t>Sectores Administrativos Corresponsables</w:t>
            </w:r>
          </w:p>
        </w:tc>
        <w:tc>
          <w:tcPr>
            <w:tcW w:w="1285" w:type="dxa"/>
            <w:shd w:val="clear" w:color="auto" w:fill="D9D9D9" w:themeFill="background1" w:themeFillShade="D9"/>
            <w:vAlign w:val="center"/>
          </w:tcPr>
          <w:p w14:paraId="2EF7BC70" w14:textId="783BD6D5" w:rsidR="00BD1F68" w:rsidRPr="003F441B" w:rsidRDefault="00BD1F68" w:rsidP="00F33518">
            <w:pPr>
              <w:spacing w:line="276" w:lineRule="auto"/>
              <w:jc w:val="center"/>
              <w:rPr>
                <w:rFonts w:ascii="Times New Roman" w:hAnsi="Times New Roman" w:cs="Times New Roman"/>
                <w:b/>
                <w:sz w:val="20"/>
                <w:szCs w:val="20"/>
              </w:rPr>
            </w:pPr>
            <w:r w:rsidRPr="003F441B">
              <w:rPr>
                <w:rFonts w:ascii="Times New Roman" w:hAnsi="Times New Roman" w:cs="Times New Roman"/>
                <w:b/>
                <w:sz w:val="20"/>
                <w:szCs w:val="20"/>
              </w:rPr>
              <w:t>No. de Proyectos de Inversión</w:t>
            </w:r>
          </w:p>
        </w:tc>
      </w:tr>
      <w:tr w:rsidR="003F441B" w:rsidRPr="003F441B" w14:paraId="0D4F1C0F" w14:textId="77777777" w:rsidTr="003F441B">
        <w:tc>
          <w:tcPr>
            <w:tcW w:w="536" w:type="dxa"/>
            <w:vAlign w:val="center"/>
          </w:tcPr>
          <w:p w14:paraId="62822245" w14:textId="55039AAE"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1</w:t>
            </w:r>
          </w:p>
        </w:tc>
        <w:tc>
          <w:tcPr>
            <w:tcW w:w="2720" w:type="dxa"/>
          </w:tcPr>
          <w:p w14:paraId="356992B3" w14:textId="664A5F56" w:rsidR="00BD1F68" w:rsidRPr="003F441B" w:rsidRDefault="00BD1F68" w:rsidP="00CC159B">
            <w:pPr>
              <w:spacing w:line="276" w:lineRule="auto"/>
              <w:jc w:val="both"/>
              <w:rPr>
                <w:rFonts w:ascii="Times New Roman" w:hAnsi="Times New Roman" w:cs="Times New Roman"/>
                <w:sz w:val="20"/>
              </w:rPr>
            </w:pPr>
            <w:r w:rsidRPr="003F441B">
              <w:rPr>
                <w:rFonts w:ascii="Times New Roman" w:hAnsi="Times New Roman" w:cs="Times New Roman"/>
                <w:sz w:val="20"/>
              </w:rPr>
              <w:t>Política Pública para los Pueblos Indígenas en Bogotá.</w:t>
            </w:r>
          </w:p>
        </w:tc>
        <w:tc>
          <w:tcPr>
            <w:tcW w:w="1410" w:type="dxa"/>
            <w:vAlign w:val="center"/>
          </w:tcPr>
          <w:p w14:paraId="2E2DAA81" w14:textId="7BED5C04"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hAnsi="Times New Roman" w:cs="Times New Roman"/>
                <w:sz w:val="20"/>
              </w:rPr>
              <w:t>Decreto 504 de 2017</w:t>
            </w:r>
          </w:p>
        </w:tc>
        <w:tc>
          <w:tcPr>
            <w:tcW w:w="1238" w:type="dxa"/>
            <w:vAlign w:val="center"/>
          </w:tcPr>
          <w:p w14:paraId="28F2E9A9" w14:textId="2399DE65"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77</w:t>
            </w:r>
          </w:p>
        </w:tc>
        <w:tc>
          <w:tcPr>
            <w:tcW w:w="1639" w:type="dxa"/>
            <w:vAlign w:val="center"/>
          </w:tcPr>
          <w:p w14:paraId="09FAC739" w14:textId="60F59CC2"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9</w:t>
            </w:r>
          </w:p>
        </w:tc>
        <w:tc>
          <w:tcPr>
            <w:tcW w:w="1285" w:type="dxa"/>
            <w:vAlign w:val="center"/>
          </w:tcPr>
          <w:p w14:paraId="74B98C7A" w14:textId="0FF9B814"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29</w:t>
            </w:r>
          </w:p>
        </w:tc>
      </w:tr>
      <w:tr w:rsidR="003F441B" w:rsidRPr="003F441B" w14:paraId="6AF1B265" w14:textId="77777777" w:rsidTr="003F441B">
        <w:tc>
          <w:tcPr>
            <w:tcW w:w="536" w:type="dxa"/>
            <w:vAlign w:val="center"/>
          </w:tcPr>
          <w:p w14:paraId="2EF4291E" w14:textId="0651E98B"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2</w:t>
            </w:r>
          </w:p>
        </w:tc>
        <w:tc>
          <w:tcPr>
            <w:tcW w:w="2720" w:type="dxa"/>
          </w:tcPr>
          <w:p w14:paraId="67DA2A2E" w14:textId="43DEA7D2"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hAnsi="Times New Roman" w:cs="Times New Roman"/>
                <w:sz w:val="20"/>
              </w:rPr>
              <w:t xml:space="preserve">Política Pública para el Reconocimiento de la Diversidad Cultural, la Garantía, la Protección y el Restablecimiento de los </w:t>
            </w:r>
            <w:r w:rsidRPr="003F441B">
              <w:rPr>
                <w:rFonts w:ascii="Times New Roman" w:hAnsi="Times New Roman" w:cs="Times New Roman"/>
                <w:sz w:val="20"/>
              </w:rPr>
              <w:lastRenderedPageBreak/>
              <w:t>Derechos del Pueblo Étnico Rrom o Gitano en Bogotá.</w:t>
            </w:r>
          </w:p>
        </w:tc>
        <w:tc>
          <w:tcPr>
            <w:tcW w:w="1410" w:type="dxa"/>
            <w:vAlign w:val="center"/>
          </w:tcPr>
          <w:p w14:paraId="37910F16" w14:textId="3DCD2D44"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hAnsi="Times New Roman" w:cs="Times New Roman"/>
                <w:sz w:val="20"/>
              </w:rPr>
              <w:lastRenderedPageBreak/>
              <w:t>Decreto 505 del 2017</w:t>
            </w:r>
          </w:p>
        </w:tc>
        <w:tc>
          <w:tcPr>
            <w:tcW w:w="1238" w:type="dxa"/>
            <w:vAlign w:val="center"/>
          </w:tcPr>
          <w:p w14:paraId="52FC99CE" w14:textId="11F1E295"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41</w:t>
            </w:r>
          </w:p>
        </w:tc>
        <w:tc>
          <w:tcPr>
            <w:tcW w:w="1639" w:type="dxa"/>
            <w:vAlign w:val="center"/>
          </w:tcPr>
          <w:p w14:paraId="3FA5535F" w14:textId="078E1D1D"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9</w:t>
            </w:r>
          </w:p>
        </w:tc>
        <w:tc>
          <w:tcPr>
            <w:tcW w:w="1285" w:type="dxa"/>
            <w:vAlign w:val="center"/>
          </w:tcPr>
          <w:p w14:paraId="447C2DB1" w14:textId="74608D21"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24</w:t>
            </w:r>
          </w:p>
        </w:tc>
      </w:tr>
      <w:tr w:rsidR="003F441B" w:rsidRPr="003F441B" w14:paraId="2A63AE48" w14:textId="77777777" w:rsidTr="003F441B">
        <w:tc>
          <w:tcPr>
            <w:tcW w:w="536" w:type="dxa"/>
            <w:vAlign w:val="center"/>
          </w:tcPr>
          <w:p w14:paraId="5555B763" w14:textId="0F79354B"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3</w:t>
            </w:r>
          </w:p>
        </w:tc>
        <w:tc>
          <w:tcPr>
            <w:tcW w:w="2720" w:type="dxa"/>
          </w:tcPr>
          <w:p w14:paraId="546943FB" w14:textId="47D25E39" w:rsidR="00BD1F68" w:rsidRPr="003F441B" w:rsidRDefault="00BD1F68" w:rsidP="00CC159B">
            <w:pPr>
              <w:spacing w:line="276" w:lineRule="auto"/>
              <w:jc w:val="both"/>
              <w:rPr>
                <w:rFonts w:ascii="Times New Roman" w:hAnsi="Times New Roman" w:cs="Times New Roman"/>
                <w:sz w:val="20"/>
              </w:rPr>
            </w:pPr>
            <w:r w:rsidRPr="003F441B">
              <w:rPr>
                <w:rFonts w:ascii="Times New Roman" w:hAnsi="Times New Roman" w:cs="Times New Roman"/>
                <w:sz w:val="20"/>
              </w:rPr>
              <w:t>Política Pública para el Reconocimiento de la Diversidad Cultural, la Garantía, la Protección y el Restablecimiento de los Derechos de la Población Raizal en Bogotá.</w:t>
            </w:r>
          </w:p>
        </w:tc>
        <w:tc>
          <w:tcPr>
            <w:tcW w:w="1410" w:type="dxa"/>
            <w:vAlign w:val="center"/>
          </w:tcPr>
          <w:p w14:paraId="6561C70D" w14:textId="73093D46"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hAnsi="Times New Roman" w:cs="Times New Roman"/>
                <w:sz w:val="20"/>
              </w:rPr>
              <w:t>Decreto 506 de 2017</w:t>
            </w:r>
          </w:p>
        </w:tc>
        <w:tc>
          <w:tcPr>
            <w:tcW w:w="1238" w:type="dxa"/>
            <w:vAlign w:val="center"/>
          </w:tcPr>
          <w:p w14:paraId="731E39E0" w14:textId="121E994C"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37</w:t>
            </w:r>
          </w:p>
        </w:tc>
        <w:tc>
          <w:tcPr>
            <w:tcW w:w="1639" w:type="dxa"/>
            <w:vAlign w:val="center"/>
          </w:tcPr>
          <w:p w14:paraId="699F45C0" w14:textId="3AEBB6CD"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8</w:t>
            </w:r>
          </w:p>
        </w:tc>
        <w:tc>
          <w:tcPr>
            <w:tcW w:w="1285" w:type="dxa"/>
            <w:vAlign w:val="center"/>
          </w:tcPr>
          <w:p w14:paraId="1E43CEDD" w14:textId="02AA0E84"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21</w:t>
            </w:r>
          </w:p>
        </w:tc>
      </w:tr>
      <w:tr w:rsidR="003F441B" w:rsidRPr="003F441B" w14:paraId="65689DC2" w14:textId="77777777" w:rsidTr="003F441B">
        <w:tc>
          <w:tcPr>
            <w:tcW w:w="536" w:type="dxa"/>
            <w:vAlign w:val="center"/>
          </w:tcPr>
          <w:p w14:paraId="499A8314" w14:textId="2068165B"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4</w:t>
            </w:r>
          </w:p>
        </w:tc>
        <w:tc>
          <w:tcPr>
            <w:tcW w:w="2720" w:type="dxa"/>
          </w:tcPr>
          <w:p w14:paraId="47A368FC" w14:textId="4E38446D"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Política Pública para el Reconocimiento de la Diversidad Cultural y la Garantía de los Derechos de los Afrodescendientes.</w:t>
            </w:r>
          </w:p>
        </w:tc>
        <w:tc>
          <w:tcPr>
            <w:tcW w:w="1410" w:type="dxa"/>
            <w:vAlign w:val="center"/>
          </w:tcPr>
          <w:p w14:paraId="62FF79C4" w14:textId="34959C0A" w:rsidR="00BD1F68" w:rsidRPr="003F441B" w:rsidRDefault="00BD1F68" w:rsidP="00CC159B">
            <w:pPr>
              <w:spacing w:line="276" w:lineRule="auto"/>
              <w:jc w:val="both"/>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Decreto 507 de 2017</w:t>
            </w:r>
          </w:p>
        </w:tc>
        <w:tc>
          <w:tcPr>
            <w:tcW w:w="1238" w:type="dxa"/>
            <w:vAlign w:val="center"/>
          </w:tcPr>
          <w:p w14:paraId="7DEF3575" w14:textId="2E40B1E5"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73</w:t>
            </w:r>
          </w:p>
        </w:tc>
        <w:tc>
          <w:tcPr>
            <w:tcW w:w="1639" w:type="dxa"/>
            <w:vAlign w:val="center"/>
          </w:tcPr>
          <w:p w14:paraId="5CE2C0DD" w14:textId="02F56826"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9</w:t>
            </w:r>
          </w:p>
        </w:tc>
        <w:tc>
          <w:tcPr>
            <w:tcW w:w="1285" w:type="dxa"/>
            <w:vAlign w:val="center"/>
          </w:tcPr>
          <w:p w14:paraId="020DC5C4" w14:textId="45D60256" w:rsidR="00BD1F68" w:rsidRPr="003F441B" w:rsidRDefault="00BD1F68" w:rsidP="00F33518">
            <w:pPr>
              <w:spacing w:line="276" w:lineRule="auto"/>
              <w:jc w:val="center"/>
              <w:rPr>
                <w:rFonts w:ascii="Times New Roman" w:eastAsia="Times New Roman" w:hAnsi="Times New Roman" w:cs="Times New Roman"/>
                <w:color w:val="000000"/>
                <w:sz w:val="20"/>
                <w:lang w:eastAsia="es-CO"/>
              </w:rPr>
            </w:pPr>
            <w:r w:rsidRPr="003F441B">
              <w:rPr>
                <w:rFonts w:ascii="Times New Roman" w:eastAsia="Times New Roman" w:hAnsi="Times New Roman" w:cs="Times New Roman"/>
                <w:color w:val="000000"/>
                <w:sz w:val="20"/>
                <w:lang w:eastAsia="es-CO"/>
              </w:rPr>
              <w:t>34</w:t>
            </w:r>
          </w:p>
        </w:tc>
      </w:tr>
    </w:tbl>
    <w:p w14:paraId="68C276B6" w14:textId="6A9A9E6B" w:rsidR="003F441B" w:rsidRPr="005F5209" w:rsidRDefault="00BD1F68" w:rsidP="00CC159B">
      <w:pPr>
        <w:spacing w:after="0" w:line="276" w:lineRule="auto"/>
        <w:jc w:val="both"/>
        <w:rPr>
          <w:rFonts w:ascii="Times New Roman" w:hAnsi="Times New Roman" w:cs="Times New Roman"/>
        </w:rPr>
      </w:pPr>
      <w:r>
        <w:rPr>
          <w:rFonts w:ascii="Times New Roman" w:eastAsia="Times New Roman" w:hAnsi="Times New Roman" w:cs="Times New Roman"/>
          <w:color w:val="000000"/>
          <w:lang w:eastAsia="es-CO"/>
        </w:rPr>
        <w:t xml:space="preserve"> </w:t>
      </w:r>
      <w:r w:rsidR="003F441B" w:rsidRPr="005F5209">
        <w:rPr>
          <w:rFonts w:ascii="Times New Roman" w:hAnsi="Times New Roman" w:cs="Times New Roman"/>
        </w:rPr>
        <w:t>Fuente: Elaboración propia – OAP 20</w:t>
      </w:r>
      <w:r w:rsidR="00F33518">
        <w:rPr>
          <w:rFonts w:ascii="Times New Roman" w:hAnsi="Times New Roman" w:cs="Times New Roman"/>
        </w:rPr>
        <w:t>20</w:t>
      </w:r>
      <w:r w:rsidR="003F441B" w:rsidRPr="005F5209">
        <w:rPr>
          <w:rFonts w:ascii="Times New Roman" w:hAnsi="Times New Roman" w:cs="Times New Roman"/>
        </w:rPr>
        <w:t>.</w:t>
      </w:r>
    </w:p>
    <w:p w14:paraId="272D4BD6" w14:textId="77777777" w:rsidR="00C50997" w:rsidRDefault="00C50997" w:rsidP="00CC159B">
      <w:pPr>
        <w:spacing w:after="0" w:line="276" w:lineRule="auto"/>
        <w:jc w:val="both"/>
        <w:rPr>
          <w:rFonts w:ascii="Times New Roman" w:eastAsia="Times New Roman" w:hAnsi="Times New Roman" w:cs="Times New Roman"/>
          <w:color w:val="000000"/>
          <w:lang w:eastAsia="es-CO"/>
        </w:rPr>
      </w:pPr>
    </w:p>
    <w:p w14:paraId="0D4203EF" w14:textId="77777777" w:rsidR="00912257" w:rsidRPr="006B2DB0" w:rsidRDefault="00912257" w:rsidP="00CC159B">
      <w:pPr>
        <w:spacing w:after="0" w:line="276" w:lineRule="auto"/>
        <w:jc w:val="both"/>
        <w:rPr>
          <w:rFonts w:ascii="Times New Roman" w:eastAsia="Times New Roman" w:hAnsi="Times New Roman" w:cs="Times New Roman"/>
          <w:color w:val="000000"/>
          <w:lang w:eastAsia="es-CO"/>
        </w:rPr>
      </w:pPr>
    </w:p>
    <w:p w14:paraId="13052BAF" w14:textId="77777777" w:rsidR="00F33518" w:rsidRPr="00F33518" w:rsidRDefault="00F33518" w:rsidP="00F33518">
      <w:pPr>
        <w:spacing w:after="0" w:line="276" w:lineRule="auto"/>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Para la vigencia 2020 se cuenta con el desarrollo de dos fases del ciclo de política pública en paralelo:</w:t>
      </w:r>
    </w:p>
    <w:p w14:paraId="4869818F" w14:textId="1BB632F1" w:rsidR="00F33518" w:rsidRPr="00F33518" w:rsidRDefault="00F33518" w:rsidP="00F33518">
      <w:pPr>
        <w:pStyle w:val="ListParagraph"/>
        <w:numPr>
          <w:ilvl w:val="0"/>
          <w:numId w:val="3"/>
        </w:numPr>
        <w:spacing w:after="0" w:line="276" w:lineRule="auto"/>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 xml:space="preserve">Seguimiento: Teniendo en cuenta que el instrumento de implementación de estas políticas públicas corresponde a los PIAA, se ha realizado seguimiento a las acciones adelantadas en la vigencia 2020. Se espera que el próximo 04 de agosto se entrega la consolidación del seguimiento de estos instrumentos y los respectivos informes de avance cualitativo para la respectiva validación y retroalimentación por parte de la OAP. </w:t>
      </w:r>
    </w:p>
    <w:p w14:paraId="459B773D" w14:textId="77777777" w:rsidR="00F33518" w:rsidRDefault="00F33518" w:rsidP="00F33518">
      <w:pPr>
        <w:spacing w:after="0" w:line="276" w:lineRule="auto"/>
        <w:ind w:left="360"/>
        <w:jc w:val="both"/>
        <w:rPr>
          <w:rFonts w:ascii="Times New Roman" w:eastAsia="Times New Roman" w:hAnsi="Times New Roman" w:cs="Times New Roman"/>
          <w:color w:val="000000"/>
          <w:lang w:eastAsia="es-CO"/>
        </w:rPr>
      </w:pPr>
    </w:p>
    <w:p w14:paraId="129C3281" w14:textId="589ACC46" w:rsidR="00F33518" w:rsidRPr="00F33518" w:rsidRDefault="00F33518" w:rsidP="00F33518">
      <w:pPr>
        <w:spacing w:after="0" w:line="276" w:lineRule="auto"/>
        <w:ind w:left="360"/>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Por otra parte, teniendo en cuenta que los PIAA tienen vigencia de plan de desarrollo y que estos fueron implementados en el marco de PDD – Bogotá Mejor Para Todos con vigencia hasta el año 2020, se ha venido adelantado un proceso de validación de efectividad de las acciones vigentes de estos instrumentos para determinar la necesidad y oportunidad de garantizar la continuidad de estas en tanto se finalice con el proceso de reformulación de estas políticas públicas, proceso acompañado por la Secretaría Distrital de Planeación, la OAP y profesionales de la Organización Internacional para la Migraciones (OIM).</w:t>
      </w:r>
    </w:p>
    <w:p w14:paraId="6F0AEB41" w14:textId="77777777" w:rsidR="00F33518" w:rsidRDefault="00F33518" w:rsidP="00F33518">
      <w:pPr>
        <w:spacing w:after="0" w:line="276" w:lineRule="auto"/>
        <w:ind w:left="360"/>
        <w:jc w:val="both"/>
        <w:rPr>
          <w:rFonts w:ascii="Times New Roman" w:eastAsia="Times New Roman" w:hAnsi="Times New Roman" w:cs="Times New Roman"/>
          <w:color w:val="000000"/>
          <w:lang w:eastAsia="es-CO"/>
        </w:rPr>
      </w:pPr>
    </w:p>
    <w:p w14:paraId="0D4A3364" w14:textId="783A48E2" w:rsidR="00F33518" w:rsidRPr="00F33518" w:rsidRDefault="00F33518" w:rsidP="00F33518">
      <w:pPr>
        <w:spacing w:after="0" w:line="276" w:lineRule="auto"/>
        <w:ind w:left="360"/>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 xml:space="preserve">En el mismo sentido, se está a la espera de la expedición de un instrumento jurídico o de lineamiento que extiendan la vigencia de los PIAA, lo anterior con el objetivo de garantizar la garantía de derechos a estas poblaciones. </w:t>
      </w:r>
    </w:p>
    <w:p w14:paraId="72A24377" w14:textId="77777777" w:rsidR="00F33518" w:rsidRPr="00F33518" w:rsidRDefault="00F33518" w:rsidP="00F33518">
      <w:pPr>
        <w:spacing w:after="0" w:line="276" w:lineRule="auto"/>
        <w:jc w:val="both"/>
        <w:rPr>
          <w:rFonts w:ascii="Times New Roman" w:eastAsia="Times New Roman" w:hAnsi="Times New Roman" w:cs="Times New Roman"/>
          <w:color w:val="000000"/>
          <w:lang w:eastAsia="es-CO"/>
        </w:rPr>
      </w:pPr>
    </w:p>
    <w:p w14:paraId="031B9BB4" w14:textId="77777777" w:rsidR="00F33518" w:rsidRDefault="00F33518" w:rsidP="00F33518">
      <w:pPr>
        <w:pStyle w:val="ListParagraph"/>
        <w:numPr>
          <w:ilvl w:val="0"/>
          <w:numId w:val="3"/>
        </w:numPr>
        <w:spacing w:after="0" w:line="276" w:lineRule="auto"/>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Re-formulación:</w:t>
      </w:r>
    </w:p>
    <w:p w14:paraId="4FD59236" w14:textId="29ECF910" w:rsidR="00F33518" w:rsidRPr="00F33518" w:rsidRDefault="00F33518" w:rsidP="00F33518">
      <w:pPr>
        <w:pStyle w:val="ListParagraph"/>
        <w:spacing w:after="0" w:line="276" w:lineRule="auto"/>
        <w:ind w:left="360"/>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El proceso de reformulación de las políticas públicas poblacionales se enmarca en lo establecido en el Decreto 668 de 2017 y la guía de para la formulación e implementación de políticas públicas. En tal sentido, la primera fase de ciclo de política pública corresponde a la fase preparatoria, del cual se espera contar con documento de propuesta de estructuración de política pública para cada una de las poblaciones identificadas previamente.</w:t>
      </w:r>
    </w:p>
    <w:p w14:paraId="62108367" w14:textId="77777777" w:rsidR="00F33518" w:rsidRDefault="00F33518" w:rsidP="00F33518">
      <w:pPr>
        <w:spacing w:after="0" w:line="276" w:lineRule="auto"/>
        <w:ind w:left="360"/>
        <w:jc w:val="both"/>
        <w:rPr>
          <w:rFonts w:ascii="Times New Roman" w:eastAsia="Times New Roman" w:hAnsi="Times New Roman" w:cs="Times New Roman"/>
          <w:color w:val="000000"/>
          <w:lang w:eastAsia="es-CO"/>
        </w:rPr>
      </w:pPr>
    </w:p>
    <w:p w14:paraId="4F570FC3" w14:textId="329B01C9" w:rsidR="00F33518" w:rsidRPr="00F33518" w:rsidRDefault="00A00938" w:rsidP="00F33518">
      <w:pPr>
        <w:spacing w:after="0" w:line="276" w:lineRule="auto"/>
        <w:ind w:left="360"/>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Este documento</w:t>
      </w:r>
      <w:r w:rsidR="00F33518" w:rsidRPr="00F33518">
        <w:rPr>
          <w:rFonts w:ascii="Times New Roman" w:eastAsia="Times New Roman" w:hAnsi="Times New Roman" w:cs="Times New Roman"/>
          <w:color w:val="000000"/>
          <w:lang w:eastAsia="es-CO"/>
        </w:rPr>
        <w:t xml:space="preserve"> debe ser validado por la OAP y aprobado por el comité sectorial de gestión y desempeño. Posterior a la aprobación deberá ser enviado a la Secretaría Técnica del CONPES para la respectiva aprobación de la información.</w:t>
      </w:r>
    </w:p>
    <w:p w14:paraId="14AD2C78" w14:textId="77777777" w:rsidR="00F33518" w:rsidRDefault="00F33518" w:rsidP="00F33518">
      <w:pPr>
        <w:spacing w:after="0" w:line="276" w:lineRule="auto"/>
        <w:ind w:left="360"/>
        <w:jc w:val="both"/>
        <w:rPr>
          <w:rFonts w:ascii="Times New Roman" w:eastAsia="Times New Roman" w:hAnsi="Times New Roman" w:cs="Times New Roman"/>
          <w:color w:val="000000"/>
          <w:lang w:eastAsia="es-CO"/>
        </w:rPr>
      </w:pPr>
    </w:p>
    <w:p w14:paraId="5A048621" w14:textId="2E8DE594" w:rsidR="00F33518" w:rsidRPr="00F33518" w:rsidRDefault="00F33518" w:rsidP="00F33518">
      <w:pPr>
        <w:spacing w:after="0" w:line="276" w:lineRule="auto"/>
        <w:ind w:left="360"/>
        <w:jc w:val="both"/>
        <w:rPr>
          <w:rFonts w:ascii="Times New Roman" w:eastAsia="Times New Roman" w:hAnsi="Times New Roman" w:cs="Times New Roman"/>
          <w:color w:val="000000"/>
          <w:lang w:eastAsia="es-CO"/>
        </w:rPr>
      </w:pPr>
      <w:r w:rsidRPr="00F33518">
        <w:rPr>
          <w:rFonts w:ascii="Times New Roman" w:eastAsia="Times New Roman" w:hAnsi="Times New Roman" w:cs="Times New Roman"/>
          <w:color w:val="000000"/>
          <w:lang w:eastAsia="es-CO"/>
        </w:rPr>
        <w:t xml:space="preserve">Previo a esta fase, se debe contar con un documento de balance de implementación de las políticas públicas de los grupos étnicos en el distrito capital. Al respecto, actualmente la SAE de la mano de OIM se encuentra en la elaboración de este documento, así como de la estructuración del documento de estructuración el cual espera se entregado a finales del mes de agosto. </w:t>
      </w:r>
    </w:p>
    <w:p w14:paraId="1BEFC0A2" w14:textId="77777777" w:rsidR="00D26C80" w:rsidRPr="00D26C80" w:rsidRDefault="00D26C80" w:rsidP="00CC159B">
      <w:pPr>
        <w:spacing w:after="0" w:line="276" w:lineRule="auto"/>
        <w:jc w:val="both"/>
        <w:rPr>
          <w:rFonts w:ascii="Times New Roman" w:eastAsia="Times New Roman" w:hAnsi="Times New Roman" w:cs="Times New Roman"/>
          <w:color w:val="000000"/>
          <w:highlight w:val="yellow"/>
          <w:lang w:eastAsia="es-CO"/>
        </w:rPr>
      </w:pPr>
    </w:p>
    <w:p w14:paraId="0F06474B" w14:textId="77777777" w:rsidR="000F7900" w:rsidRDefault="000F7900" w:rsidP="00CC159B">
      <w:pPr>
        <w:spacing w:after="0" w:line="276" w:lineRule="auto"/>
        <w:jc w:val="both"/>
        <w:rPr>
          <w:rFonts w:ascii="Times New Roman" w:hAnsi="Times New Roman" w:cs="Times New Roman"/>
        </w:rPr>
      </w:pPr>
    </w:p>
    <w:p w14:paraId="2E749015" w14:textId="77777777" w:rsidR="00461298" w:rsidRPr="00357AF5" w:rsidRDefault="00461298" w:rsidP="00CC159B">
      <w:pPr>
        <w:spacing w:after="0" w:line="276" w:lineRule="auto"/>
        <w:jc w:val="both"/>
        <w:rPr>
          <w:rFonts w:ascii="Times New Roman" w:hAnsi="Times New Roman" w:cs="Times New Roman"/>
          <w:color w:val="0070C0"/>
          <w:u w:val="single"/>
        </w:rPr>
      </w:pPr>
      <w:r w:rsidRPr="00357AF5">
        <w:rPr>
          <w:rFonts w:ascii="Times New Roman" w:hAnsi="Times New Roman" w:cs="Times New Roman"/>
          <w:color w:val="0070C0"/>
          <w:u w:val="single"/>
        </w:rPr>
        <w:t>Política Pública de Transparencia, Integridad y No Tolerancia con la Corrupción</w:t>
      </w:r>
    </w:p>
    <w:p w14:paraId="48C84859" w14:textId="77777777" w:rsidR="00461298" w:rsidRDefault="00461298" w:rsidP="00CC159B">
      <w:pPr>
        <w:spacing w:after="0" w:line="276" w:lineRule="auto"/>
        <w:jc w:val="both"/>
        <w:rPr>
          <w:rFonts w:ascii="Times New Roman" w:hAnsi="Times New Roman" w:cs="Times New Roman"/>
          <w:u w:val="single"/>
        </w:rPr>
      </w:pPr>
    </w:p>
    <w:p w14:paraId="468C6C8D" w14:textId="77777777" w:rsidR="00461298" w:rsidRDefault="00461298" w:rsidP="00CC159B">
      <w:pPr>
        <w:spacing w:after="0" w:line="276" w:lineRule="auto"/>
        <w:jc w:val="both"/>
        <w:rPr>
          <w:rFonts w:ascii="Times New Roman" w:hAnsi="Times New Roman" w:cs="Times New Roman"/>
        </w:rPr>
      </w:pPr>
      <w:r>
        <w:rPr>
          <w:rFonts w:ascii="Times New Roman" w:hAnsi="Times New Roman" w:cs="Times New Roman"/>
        </w:rPr>
        <w:t xml:space="preserve">Surge como meta del Plan Distrital de Desarrollo Bogotá Mejor Para Todos y es liderada por la Secretaría General de la Alcaldía Mayor de Bogotá, la Secretaría Distrital de Gobierno y la Veeduría Distrital. Fue adoptada a través del Documento CONPES 01 del 04 de Diciembre de 2018 y cuenta con 13 productos a cargo de la Secretaría Distrital de Gobierno. </w:t>
      </w:r>
    </w:p>
    <w:p w14:paraId="142D3E7C" w14:textId="77777777" w:rsidR="00461298" w:rsidRDefault="00461298" w:rsidP="00CC159B">
      <w:pPr>
        <w:spacing w:after="0" w:line="276" w:lineRule="auto"/>
        <w:jc w:val="both"/>
        <w:rPr>
          <w:rFonts w:ascii="Times New Roman" w:hAnsi="Times New Roman" w:cs="Times New Roman"/>
        </w:rPr>
      </w:pPr>
    </w:p>
    <w:p w14:paraId="26C2C5AF" w14:textId="77777777" w:rsidR="00461298" w:rsidRPr="006A3A8D" w:rsidRDefault="00461298" w:rsidP="00CC159B">
      <w:pPr>
        <w:spacing w:after="0" w:line="276" w:lineRule="auto"/>
        <w:jc w:val="both"/>
        <w:rPr>
          <w:rFonts w:ascii="Times New Roman" w:hAnsi="Times New Roman" w:cs="Times New Roman"/>
        </w:rPr>
      </w:pPr>
      <w:r>
        <w:rPr>
          <w:rFonts w:ascii="Times New Roman" w:hAnsi="Times New Roman" w:cs="Times New Roman"/>
        </w:rPr>
        <w:t xml:space="preserve">Actualmente esta política se encuentra en fase de implementación. En lo transcurrido de la vigencia 2020 en coordinación con la Subsecretaría de Gestión Institucional se ha realizado el seguimiento a la implementación de los productos programados los cuales han sido remitidos trimestralmente a la Secretaría General de la Alcaldía Mayor. </w:t>
      </w:r>
    </w:p>
    <w:p w14:paraId="19268B9D" w14:textId="77777777" w:rsidR="00461298" w:rsidRDefault="00461298" w:rsidP="00CC159B">
      <w:pPr>
        <w:spacing w:after="0" w:line="276" w:lineRule="auto"/>
        <w:jc w:val="both"/>
        <w:rPr>
          <w:rFonts w:ascii="Times New Roman" w:hAnsi="Times New Roman" w:cs="Times New Roman"/>
        </w:rPr>
      </w:pPr>
    </w:p>
    <w:p w14:paraId="76C6D2FC" w14:textId="77777777" w:rsidR="00461298" w:rsidRDefault="00461298" w:rsidP="00CC159B">
      <w:pPr>
        <w:spacing w:after="0" w:line="276" w:lineRule="auto"/>
        <w:jc w:val="both"/>
        <w:rPr>
          <w:rFonts w:ascii="Times New Roman" w:hAnsi="Times New Roman" w:cs="Times New Roman"/>
        </w:rPr>
      </w:pPr>
      <w:r>
        <w:rPr>
          <w:rFonts w:ascii="Times New Roman" w:hAnsi="Times New Roman" w:cs="Times New Roman"/>
        </w:rPr>
        <w:t xml:space="preserve">De los 13 productos a cargo de la Secretaría Distrital de Gobierno, se resalta el desarrollo del </w:t>
      </w:r>
      <w:r w:rsidRPr="00993DDA">
        <w:rPr>
          <w:rFonts w:ascii="Times New Roman" w:hAnsi="Times New Roman" w:cs="Times New Roman"/>
        </w:rPr>
        <w:t xml:space="preserve">Portal ciudadano de acceso a información sobre planeación, presupuesto y contratación de las Alcaldías Locales y de la Secretaría Distrital de Gobierno </w:t>
      </w:r>
      <w:r>
        <w:rPr>
          <w:rFonts w:ascii="Times New Roman" w:hAnsi="Times New Roman" w:cs="Times New Roman"/>
        </w:rPr>
        <w:t xml:space="preserve">el cual se denomina </w:t>
      </w:r>
      <w:r w:rsidRPr="00993DDA">
        <w:rPr>
          <w:rFonts w:ascii="Times New Roman" w:hAnsi="Times New Roman" w:cs="Times New Roman"/>
        </w:rPr>
        <w:t>Sistema de información para el seguimiento contractual, financiero y de planeación para las Alcaldías Locales (SIPSE Localidades)</w:t>
      </w:r>
      <w:r>
        <w:rPr>
          <w:rFonts w:ascii="Times New Roman" w:hAnsi="Times New Roman" w:cs="Times New Roman"/>
        </w:rPr>
        <w:t xml:space="preserve">, adoptado a través de la </w:t>
      </w:r>
      <w:r w:rsidRPr="00993DDA">
        <w:rPr>
          <w:rFonts w:ascii="Times New Roman" w:hAnsi="Times New Roman" w:cs="Times New Roman"/>
        </w:rPr>
        <w:t>Resolución No. 288 del 29 de junio de 2018</w:t>
      </w:r>
      <w:r>
        <w:rPr>
          <w:rFonts w:ascii="Times New Roman" w:hAnsi="Times New Roman" w:cs="Times New Roman"/>
        </w:rPr>
        <w:t>.</w:t>
      </w:r>
    </w:p>
    <w:p w14:paraId="4498FC4A" w14:textId="77777777" w:rsidR="00461298" w:rsidRDefault="00461298" w:rsidP="00CC159B">
      <w:pPr>
        <w:spacing w:after="0" w:line="276" w:lineRule="auto"/>
        <w:jc w:val="both"/>
        <w:rPr>
          <w:rFonts w:ascii="Times New Roman" w:hAnsi="Times New Roman" w:cs="Times New Roman"/>
        </w:rPr>
      </w:pPr>
    </w:p>
    <w:p w14:paraId="3C138EB5" w14:textId="77777777" w:rsidR="00461298" w:rsidRDefault="00461298" w:rsidP="00CC159B">
      <w:pPr>
        <w:spacing w:after="0" w:line="276" w:lineRule="auto"/>
        <w:jc w:val="both"/>
        <w:rPr>
          <w:rFonts w:ascii="Times New Roman" w:hAnsi="Times New Roman" w:cs="Times New Roman"/>
        </w:rPr>
      </w:pPr>
      <w:r w:rsidRPr="00993DDA">
        <w:rPr>
          <w:rFonts w:ascii="Times New Roman" w:hAnsi="Times New Roman" w:cs="Times New Roman"/>
        </w:rPr>
        <w:t>A través de</w:t>
      </w:r>
      <w:r>
        <w:rPr>
          <w:rFonts w:ascii="Times New Roman" w:hAnsi="Times New Roman" w:cs="Times New Roman"/>
        </w:rPr>
        <w:t xml:space="preserve"> este </w:t>
      </w:r>
      <w:r w:rsidRPr="00993DDA">
        <w:rPr>
          <w:rFonts w:ascii="Times New Roman" w:hAnsi="Times New Roman" w:cs="Times New Roman"/>
        </w:rPr>
        <w:t>Portal se busca construir una vista externa, a través de la cual los ciudadanos visualicen la georreferenciación de la inversión en Alcaldías Locales y el Nivel Central, de tal manera que puedan realizar seguimiento a la ejecución presupuestal. De esta forma, este producto garantiza el acceso a la información pública por parte de la ciudadanía en relación con la planeación, presupuesto y contratación</w:t>
      </w:r>
      <w:r>
        <w:rPr>
          <w:rFonts w:ascii="Times New Roman" w:hAnsi="Times New Roman" w:cs="Times New Roman"/>
        </w:rPr>
        <w:t>.</w:t>
      </w:r>
    </w:p>
    <w:p w14:paraId="555677D7" w14:textId="77777777" w:rsidR="00461298" w:rsidRDefault="00461298" w:rsidP="00CC159B">
      <w:pPr>
        <w:spacing w:after="0" w:line="276" w:lineRule="auto"/>
        <w:jc w:val="both"/>
        <w:rPr>
          <w:rFonts w:ascii="Times New Roman" w:hAnsi="Times New Roman" w:cs="Times New Roman"/>
        </w:rPr>
      </w:pPr>
    </w:p>
    <w:p w14:paraId="714054E2" w14:textId="77777777" w:rsidR="00461298" w:rsidRPr="000C6BF6" w:rsidRDefault="00461298" w:rsidP="00CC159B">
      <w:pPr>
        <w:spacing w:after="0" w:line="276" w:lineRule="auto"/>
        <w:jc w:val="both"/>
        <w:rPr>
          <w:rFonts w:ascii="Times New Roman" w:hAnsi="Times New Roman" w:cs="Times New Roman"/>
        </w:rPr>
      </w:pPr>
      <w:r>
        <w:rPr>
          <w:rFonts w:ascii="Times New Roman" w:hAnsi="Times New Roman" w:cs="Times New Roman"/>
        </w:rPr>
        <w:t>En el marco de las acciones programadas en la vigencia 2020, s</w:t>
      </w:r>
      <w:r w:rsidRPr="000C6BF6">
        <w:rPr>
          <w:rFonts w:ascii="Times New Roman" w:hAnsi="Times New Roman" w:cs="Times New Roman"/>
        </w:rPr>
        <w:t>e</w:t>
      </w:r>
      <w:r>
        <w:rPr>
          <w:rFonts w:ascii="Times New Roman" w:hAnsi="Times New Roman" w:cs="Times New Roman"/>
        </w:rPr>
        <w:t xml:space="preserve"> han</w:t>
      </w:r>
      <w:r w:rsidRPr="000C6BF6">
        <w:rPr>
          <w:rFonts w:ascii="Times New Roman" w:hAnsi="Times New Roman" w:cs="Times New Roman"/>
        </w:rPr>
        <w:t xml:space="preserve"> realiza</w:t>
      </w:r>
      <w:r>
        <w:rPr>
          <w:rFonts w:ascii="Times New Roman" w:hAnsi="Times New Roman" w:cs="Times New Roman"/>
        </w:rPr>
        <w:t>do</w:t>
      </w:r>
      <w:r w:rsidRPr="000C6BF6">
        <w:rPr>
          <w:rFonts w:ascii="Times New Roman" w:hAnsi="Times New Roman" w:cs="Times New Roman"/>
        </w:rPr>
        <w:t xml:space="preserve"> dos mesas de trabajo con la Veeduría Distrital, en las que se socializó la elaboración y propósito del documento que contiene los Lineamientos del proceso de Rendición de Cuentas con las JAL, así como la ruta de acción que se tiene prevista para su socialización. Dicho documento fue remitido al ente de control y se realizó una segunda reunión para recibir la retroalimentación respectiva.</w:t>
      </w:r>
    </w:p>
    <w:p w14:paraId="4C0563E0" w14:textId="77777777" w:rsidR="00461298" w:rsidRPr="000C6BF6" w:rsidRDefault="00461298" w:rsidP="00CC159B">
      <w:pPr>
        <w:spacing w:after="0" w:line="276" w:lineRule="auto"/>
        <w:jc w:val="both"/>
        <w:rPr>
          <w:rFonts w:ascii="Times New Roman" w:hAnsi="Times New Roman" w:cs="Times New Roman"/>
        </w:rPr>
      </w:pPr>
    </w:p>
    <w:p w14:paraId="05D5794C" w14:textId="77777777" w:rsidR="00461298" w:rsidRPr="000C6BF6" w:rsidRDefault="00461298" w:rsidP="00CC159B">
      <w:pPr>
        <w:spacing w:after="0" w:line="276" w:lineRule="auto"/>
        <w:jc w:val="both"/>
        <w:rPr>
          <w:rFonts w:ascii="Times New Roman" w:hAnsi="Times New Roman" w:cs="Times New Roman"/>
        </w:rPr>
      </w:pPr>
      <w:r>
        <w:rPr>
          <w:rFonts w:ascii="Times New Roman" w:hAnsi="Times New Roman" w:cs="Times New Roman"/>
        </w:rPr>
        <w:t xml:space="preserve">Por otra parte, con el objetivo de </w:t>
      </w:r>
      <w:r w:rsidRPr="000C6BF6">
        <w:rPr>
          <w:rFonts w:ascii="Times New Roman" w:hAnsi="Times New Roman" w:cs="Times New Roman"/>
        </w:rPr>
        <w:t xml:space="preserve">dar inicio con las actividades del Canal único de denuncias, se realizó la revisión del análisis documental elaborado en la vigencia 2019 y la propuesta de ventanilla única. Luego de esta revisión y la exploración de los canales con los que cuenta la entidad, se decide la integración de la línea telefónica anticorrupción 4446900 y el correo electrónico </w:t>
      </w:r>
      <w:hyperlink r:id="rId11" w:history="1">
        <w:r w:rsidRPr="007968ED">
          <w:rPr>
            <w:rStyle w:val="Hyperlink"/>
            <w:rFonts w:ascii="Times New Roman" w:hAnsi="Times New Roman" w:cs="Times New Roman"/>
          </w:rPr>
          <w:t>denuncias@gobiernobogota.gov.co</w:t>
        </w:r>
      </w:hyperlink>
      <w:r w:rsidRPr="000C6BF6">
        <w:rPr>
          <w:rFonts w:ascii="Times New Roman" w:hAnsi="Times New Roman" w:cs="Times New Roman"/>
        </w:rPr>
        <w:t>.</w:t>
      </w:r>
      <w:r>
        <w:rPr>
          <w:rFonts w:ascii="Times New Roman" w:hAnsi="Times New Roman" w:cs="Times New Roman"/>
        </w:rPr>
        <w:t>, a</w:t>
      </w:r>
      <w:r w:rsidRPr="000C6BF6">
        <w:rPr>
          <w:rFonts w:ascii="Times New Roman" w:hAnsi="Times New Roman" w:cs="Times New Roman"/>
        </w:rPr>
        <w:t xml:space="preserve"> través de</w:t>
      </w:r>
      <w:r>
        <w:rPr>
          <w:rFonts w:ascii="Times New Roman" w:hAnsi="Times New Roman" w:cs="Times New Roman"/>
        </w:rPr>
        <w:t xml:space="preserve">l cual con corte al 1° semestre </w:t>
      </w:r>
      <w:r w:rsidRPr="000C6BF6">
        <w:rPr>
          <w:rFonts w:ascii="Times New Roman" w:hAnsi="Times New Roman" w:cs="Times New Roman"/>
        </w:rPr>
        <w:t>han recibido 1.602 solicitudes.</w:t>
      </w:r>
    </w:p>
    <w:p w14:paraId="699B01D1" w14:textId="77777777" w:rsidR="00461298" w:rsidRPr="000C6BF6" w:rsidRDefault="00461298" w:rsidP="00CC159B">
      <w:pPr>
        <w:spacing w:after="0" w:line="276" w:lineRule="auto"/>
        <w:jc w:val="both"/>
        <w:rPr>
          <w:rFonts w:ascii="Times New Roman" w:hAnsi="Times New Roman" w:cs="Times New Roman"/>
        </w:rPr>
      </w:pPr>
    </w:p>
    <w:p w14:paraId="7AA1AB61" w14:textId="77777777" w:rsidR="00461298" w:rsidRDefault="00461298" w:rsidP="00CC159B">
      <w:pPr>
        <w:spacing w:after="0" w:line="276" w:lineRule="auto"/>
        <w:jc w:val="both"/>
        <w:rPr>
          <w:rFonts w:ascii="Times New Roman" w:hAnsi="Times New Roman" w:cs="Times New Roman"/>
        </w:rPr>
      </w:pPr>
      <w:r w:rsidRPr="000C6BF6">
        <w:rPr>
          <w:rFonts w:ascii="Times New Roman" w:hAnsi="Times New Roman" w:cs="Times New Roman"/>
        </w:rPr>
        <w:lastRenderedPageBreak/>
        <w:t>Así mismo, se incluye en la elaboración de la Política para el tratamiento y protección de datos personales, un apartado relacionado con la protección de datos en denuncias por presuntos actos de corrupción, en el que se precisa que si un ciudadano presenta una queja o denuncia sobre posibles hechos de corrupción de los servidores públicos de la Entidad podrá utilizar de forma exclusiva la Línea telefónica Anticorrupción; y se realizará la asignación a la Oficina de Asuntos Disciplinarios para su tratamiento correspondiente.</w:t>
      </w:r>
    </w:p>
    <w:p w14:paraId="41F0BC40" w14:textId="77777777" w:rsidR="00461298" w:rsidRDefault="00461298" w:rsidP="00CC159B">
      <w:pPr>
        <w:spacing w:after="0" w:line="276" w:lineRule="auto"/>
        <w:jc w:val="both"/>
        <w:rPr>
          <w:rFonts w:ascii="Times New Roman" w:hAnsi="Times New Roman" w:cs="Times New Roman"/>
          <w:color w:val="0070C0"/>
          <w:u w:val="single"/>
        </w:rPr>
      </w:pPr>
    </w:p>
    <w:p w14:paraId="1845662D" w14:textId="27389D21" w:rsidR="00F97AE4" w:rsidRPr="00357AF5" w:rsidRDefault="00F97AE4" w:rsidP="00CC159B">
      <w:pPr>
        <w:spacing w:after="0" w:line="276" w:lineRule="auto"/>
        <w:jc w:val="both"/>
        <w:rPr>
          <w:rFonts w:ascii="Times New Roman" w:hAnsi="Times New Roman" w:cs="Times New Roman"/>
          <w:color w:val="0070C0"/>
          <w:u w:val="single"/>
        </w:rPr>
      </w:pPr>
      <w:r w:rsidRPr="00357AF5">
        <w:rPr>
          <w:rFonts w:ascii="Times New Roman" w:hAnsi="Times New Roman" w:cs="Times New Roman"/>
          <w:color w:val="0070C0"/>
          <w:u w:val="single"/>
        </w:rPr>
        <w:t>Política Pública de Participación Incidente</w:t>
      </w:r>
    </w:p>
    <w:p w14:paraId="396D94E1" w14:textId="77777777" w:rsidR="000F7900" w:rsidRPr="002D4A82" w:rsidRDefault="000F7900" w:rsidP="00CC159B">
      <w:pPr>
        <w:spacing w:after="0" w:line="276" w:lineRule="auto"/>
        <w:jc w:val="both"/>
        <w:rPr>
          <w:rFonts w:ascii="Times New Roman" w:hAnsi="Times New Roman" w:cs="Times New Roman"/>
          <w:u w:val="single"/>
        </w:rPr>
      </w:pPr>
    </w:p>
    <w:p w14:paraId="3BF54EFC" w14:textId="12CF8D8E" w:rsidR="00F97AE4" w:rsidRDefault="00F97AE4" w:rsidP="00CC159B">
      <w:pPr>
        <w:spacing w:after="0" w:line="276" w:lineRule="auto"/>
        <w:jc w:val="both"/>
        <w:rPr>
          <w:rFonts w:ascii="Times New Roman" w:hAnsi="Times New Roman" w:cs="Times New Roman"/>
        </w:rPr>
      </w:pPr>
      <w:r w:rsidRPr="00717710">
        <w:rPr>
          <w:rFonts w:ascii="Times New Roman" w:hAnsi="Times New Roman" w:cs="Times New Roman"/>
        </w:rPr>
        <w:t xml:space="preserve">Actualmente el Distrito cuenta con una política pública de participación incidente adoptada a través del Decreto 503 de 2011, sin embargo, </w:t>
      </w:r>
      <w:r w:rsidR="00F33518">
        <w:rPr>
          <w:rFonts w:ascii="Times New Roman" w:hAnsi="Times New Roman" w:cs="Times New Roman"/>
        </w:rPr>
        <w:t>esta no conto con un plan de acción que permitiera la</w:t>
      </w:r>
      <w:r w:rsidR="00D1632E">
        <w:rPr>
          <w:rFonts w:ascii="Times New Roman" w:hAnsi="Times New Roman" w:cs="Times New Roman"/>
        </w:rPr>
        <w:t xml:space="preserve"> implementación de la política. </w:t>
      </w:r>
    </w:p>
    <w:p w14:paraId="3F763AE1" w14:textId="35BDAFB7" w:rsidR="00D1632E" w:rsidRDefault="00D1632E" w:rsidP="00CC159B">
      <w:pPr>
        <w:spacing w:after="0" w:line="276" w:lineRule="auto"/>
        <w:jc w:val="both"/>
        <w:rPr>
          <w:rFonts w:ascii="Times New Roman" w:hAnsi="Times New Roman" w:cs="Times New Roman"/>
        </w:rPr>
      </w:pPr>
    </w:p>
    <w:p w14:paraId="785203F1" w14:textId="68B4AB63" w:rsidR="00D1632E" w:rsidRDefault="00D1632E" w:rsidP="00D1632E">
      <w:pPr>
        <w:spacing w:after="0" w:line="276" w:lineRule="auto"/>
        <w:jc w:val="both"/>
        <w:rPr>
          <w:rFonts w:ascii="Times New Roman" w:hAnsi="Times New Roman" w:cs="Times New Roman"/>
        </w:rPr>
      </w:pPr>
      <w:r>
        <w:rPr>
          <w:rFonts w:ascii="Times New Roman" w:hAnsi="Times New Roman" w:cs="Times New Roman"/>
        </w:rPr>
        <w:t xml:space="preserve">Por otra parte, </w:t>
      </w:r>
      <w:r w:rsidRPr="00D1632E">
        <w:rPr>
          <w:rFonts w:ascii="Times New Roman" w:hAnsi="Times New Roman" w:cs="Times New Roman"/>
        </w:rPr>
        <w:t xml:space="preserve">Teniendo en cuenta que esta es una política pública establecida por Decreto </w:t>
      </w:r>
      <w:r>
        <w:rPr>
          <w:rFonts w:ascii="Times New Roman" w:hAnsi="Times New Roman" w:cs="Times New Roman"/>
        </w:rPr>
        <w:t>anterior a</w:t>
      </w:r>
      <w:r w:rsidRPr="00D1632E">
        <w:rPr>
          <w:rFonts w:ascii="Times New Roman" w:hAnsi="Times New Roman" w:cs="Times New Roman"/>
        </w:rPr>
        <w:t xml:space="preserve"> la expedición de la actual guía de formulación e implementación de políticas públicas y que no cuenta con un plan de acción para su materialización, desde la Secretaría Distrital de Gobierno en coordinación con el Instituto Distrital de la Participación y Acción Comunal – IDPAC y la Secretaría Distrital de Planeación se tomó la decisión de realizar un documento balance de la política en el cual se establecieron recomendaciones para su posible reformulación.</w:t>
      </w:r>
    </w:p>
    <w:p w14:paraId="761FEA3A" w14:textId="77777777" w:rsidR="00D1632E" w:rsidRPr="00D1632E" w:rsidRDefault="00D1632E" w:rsidP="00D1632E">
      <w:pPr>
        <w:spacing w:after="0" w:line="276" w:lineRule="auto"/>
        <w:jc w:val="both"/>
        <w:rPr>
          <w:rFonts w:ascii="Times New Roman" w:hAnsi="Times New Roman" w:cs="Times New Roman"/>
        </w:rPr>
      </w:pPr>
    </w:p>
    <w:p w14:paraId="7D6E2EC1"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En este contexto, durante el 2019 se ajustó el documento balance y se presentó ante la Comisión Intersectorial de Participación – CIP donde fue aprobado. Este documento se caracteriza por contemplar un marco normativo, la estructura de la política, por presentar desde los diferentes sectores administrativos los avances en relación con la participación en el distrito y finalmente por establecer algunas recomendaciones sobre la continuidad o reformulación de esta política.  </w:t>
      </w:r>
    </w:p>
    <w:p w14:paraId="0704AC36" w14:textId="77777777" w:rsidR="00D1632E" w:rsidRPr="00D1632E" w:rsidRDefault="00D1632E" w:rsidP="00D1632E">
      <w:pPr>
        <w:spacing w:after="0" w:line="276" w:lineRule="auto"/>
        <w:jc w:val="both"/>
        <w:rPr>
          <w:rFonts w:ascii="Times New Roman" w:hAnsi="Times New Roman" w:cs="Times New Roman"/>
        </w:rPr>
      </w:pPr>
    </w:p>
    <w:p w14:paraId="594F3E1A" w14:textId="701D2BA2"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En el marco del Plan de Desarrollo Distrital</w:t>
      </w:r>
      <w:r>
        <w:rPr>
          <w:rFonts w:ascii="Times New Roman" w:hAnsi="Times New Roman" w:cs="Times New Roman"/>
        </w:rPr>
        <w:t xml:space="preserve"> vigente</w:t>
      </w:r>
      <w:r w:rsidRPr="00D1632E">
        <w:rPr>
          <w:rFonts w:ascii="Times New Roman" w:hAnsi="Times New Roman" w:cs="Times New Roman"/>
        </w:rPr>
        <w:t xml:space="preserve">, esta política quedó como una meta plan de desarrollo con recursos en el IDPAC y la SDG, más específicamente en la Subsecretaría para la Gobernabilidad y Garantía de Derechos. Motivo por el cual </w:t>
      </w:r>
      <w:r>
        <w:rPr>
          <w:rFonts w:ascii="Times New Roman" w:hAnsi="Times New Roman" w:cs="Times New Roman"/>
        </w:rPr>
        <w:t xml:space="preserve">se han venido desarrollando acciones de </w:t>
      </w:r>
      <w:r w:rsidRPr="00D1632E">
        <w:rPr>
          <w:rFonts w:ascii="Times New Roman" w:hAnsi="Times New Roman" w:cs="Times New Roman"/>
        </w:rPr>
        <w:t xml:space="preserve">articulación interinstitucional </w:t>
      </w:r>
      <w:r>
        <w:rPr>
          <w:rFonts w:ascii="Times New Roman" w:hAnsi="Times New Roman" w:cs="Times New Roman"/>
        </w:rPr>
        <w:t>orientadas a desarrollar e</w:t>
      </w:r>
      <w:r w:rsidRPr="00D1632E">
        <w:rPr>
          <w:rFonts w:ascii="Times New Roman" w:hAnsi="Times New Roman" w:cs="Times New Roman"/>
        </w:rPr>
        <w:t xml:space="preserve">l proceso de formulación de esta política. </w:t>
      </w:r>
    </w:p>
    <w:p w14:paraId="500E44E9" w14:textId="77777777" w:rsidR="00D1632E" w:rsidRPr="00D1632E" w:rsidRDefault="00D1632E" w:rsidP="00D1632E">
      <w:pPr>
        <w:spacing w:after="0" w:line="276" w:lineRule="auto"/>
        <w:jc w:val="both"/>
        <w:rPr>
          <w:rFonts w:ascii="Times New Roman" w:hAnsi="Times New Roman" w:cs="Times New Roman"/>
        </w:rPr>
      </w:pPr>
    </w:p>
    <w:p w14:paraId="490AE17D" w14:textId="3ED1C772" w:rsidR="00D1632E" w:rsidRDefault="007C2452" w:rsidP="00D1632E">
      <w:pPr>
        <w:spacing w:after="0" w:line="276" w:lineRule="auto"/>
        <w:jc w:val="both"/>
        <w:rPr>
          <w:rFonts w:ascii="Times New Roman" w:hAnsi="Times New Roman" w:cs="Times New Roman"/>
        </w:rPr>
      </w:pPr>
      <w:r>
        <w:rPr>
          <w:rFonts w:ascii="Times New Roman" w:hAnsi="Times New Roman" w:cs="Times New Roman"/>
        </w:rPr>
        <w:t>D</w:t>
      </w:r>
      <w:r w:rsidR="00D1632E" w:rsidRPr="00D1632E">
        <w:rPr>
          <w:rFonts w:ascii="Times New Roman" w:hAnsi="Times New Roman" w:cs="Times New Roman"/>
        </w:rPr>
        <w:t>esde el IDPAC se recibió una propuesta de plan de trabajo y una primera versión de un documento que recoge las principales problemáticas que se deben abordar para la reform</w:t>
      </w:r>
      <w:r>
        <w:rPr>
          <w:rFonts w:ascii="Times New Roman" w:hAnsi="Times New Roman" w:cs="Times New Roman"/>
        </w:rPr>
        <w:t>ulación de la política pública este constituye un insumo primordial para el desarrollo de las actividades subsiguientes</w:t>
      </w:r>
    </w:p>
    <w:p w14:paraId="4CE3EBD1" w14:textId="77777777" w:rsidR="000F7900" w:rsidRDefault="000F7900" w:rsidP="00CC159B">
      <w:pPr>
        <w:spacing w:after="0" w:line="276" w:lineRule="auto"/>
        <w:jc w:val="both"/>
        <w:rPr>
          <w:rFonts w:ascii="Times New Roman" w:hAnsi="Times New Roman" w:cs="Times New Roman"/>
        </w:rPr>
      </w:pPr>
    </w:p>
    <w:p w14:paraId="7312961B" w14:textId="0DFBB82C" w:rsidR="00F97AE4" w:rsidRPr="00357AF5" w:rsidRDefault="00D1632E" w:rsidP="00CC159B">
      <w:pPr>
        <w:spacing w:after="0" w:line="276" w:lineRule="auto"/>
        <w:jc w:val="both"/>
        <w:rPr>
          <w:rFonts w:ascii="Times New Roman" w:hAnsi="Times New Roman" w:cs="Times New Roman"/>
          <w:color w:val="0070C0"/>
          <w:u w:val="single"/>
        </w:rPr>
      </w:pPr>
      <w:r w:rsidRPr="00D1632E">
        <w:rPr>
          <w:rFonts w:ascii="Times New Roman" w:hAnsi="Times New Roman" w:cs="Times New Roman"/>
          <w:color w:val="0070C0"/>
          <w:u w:val="single"/>
        </w:rPr>
        <w:t>Política Pública de Participación para el Desarrollo Comunitario y la Convivencia a través de las Organizaciones Comunales y de Propiedad Horizontal en el Distrito Capital.</w:t>
      </w:r>
    </w:p>
    <w:p w14:paraId="2B156D51" w14:textId="77777777" w:rsidR="001F6EAD" w:rsidRDefault="001F6EAD" w:rsidP="00CC159B">
      <w:pPr>
        <w:spacing w:after="0" w:line="276" w:lineRule="auto"/>
        <w:jc w:val="both"/>
        <w:rPr>
          <w:rFonts w:ascii="Times New Roman" w:hAnsi="Times New Roman" w:cs="Times New Roman"/>
          <w:highlight w:val="yellow"/>
          <w:u w:val="single"/>
        </w:rPr>
      </w:pPr>
    </w:p>
    <w:p w14:paraId="5227A90A"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Bajo la coordinación del Instituto Distrital de la Participación y Acción Comunal –IDPAC, se elaboró el documento de estructuración de la Política Pública de Participación para el Desarrollo Comunitario y la Convivencia a través de las Organizaciones Comunales y de Propiedad Horizontal en el Distrito Capital, el cual se presentó y avaló en la sesión no. 1 del Comité Sectorial de Desarrollo Administrativo del Sector Gobierno.</w:t>
      </w:r>
    </w:p>
    <w:p w14:paraId="1796EFEE" w14:textId="77777777" w:rsidR="00D1632E" w:rsidRDefault="00D1632E" w:rsidP="00D1632E">
      <w:pPr>
        <w:spacing w:after="0" w:line="276" w:lineRule="auto"/>
        <w:jc w:val="both"/>
        <w:rPr>
          <w:rFonts w:ascii="Times New Roman" w:hAnsi="Times New Roman" w:cs="Times New Roman"/>
        </w:rPr>
      </w:pPr>
    </w:p>
    <w:p w14:paraId="568CB508" w14:textId="5B4F986A"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lastRenderedPageBreak/>
        <w:t>Posteriormente, el documento mencionado y sus respectivos anexos fueron remitidos en mayo a la Secretaría Distrital de Planeación para su revisión, aprobación, para dar continuidad a la siguiente fase.</w:t>
      </w:r>
    </w:p>
    <w:p w14:paraId="24C9585C" w14:textId="77777777" w:rsidR="00D1632E" w:rsidRDefault="00D1632E" w:rsidP="00D1632E">
      <w:pPr>
        <w:spacing w:after="0" w:line="276" w:lineRule="auto"/>
        <w:jc w:val="both"/>
        <w:rPr>
          <w:rFonts w:ascii="Times New Roman" w:hAnsi="Times New Roman" w:cs="Times New Roman"/>
        </w:rPr>
      </w:pPr>
    </w:p>
    <w:p w14:paraId="0A575DDD" w14:textId="0D7CFBCB" w:rsid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Desde la anterior administración se dejó una primera versión del documento de diagnóstico e identificación de factores estratégicos, no obstante, de acuerdo al planteamiento estratégico de la actual administración, este documento requería ser revisado y rediseñado. De manera complementaria, desde el IDPAC se planteó un plan de trabajo en torno a esta política para avanzar en el producto de la fase de agenda pública del ciclo de políticas. </w:t>
      </w:r>
    </w:p>
    <w:p w14:paraId="0ED455B8" w14:textId="02E92573" w:rsidR="00D1632E" w:rsidRDefault="00D1632E" w:rsidP="00D1632E">
      <w:pPr>
        <w:spacing w:after="0" w:line="276" w:lineRule="auto"/>
        <w:jc w:val="both"/>
        <w:rPr>
          <w:rFonts w:ascii="Times New Roman" w:hAnsi="Times New Roman" w:cs="Times New Roman"/>
        </w:rPr>
      </w:pPr>
    </w:p>
    <w:p w14:paraId="454E69B2" w14:textId="4A9D4A59" w:rsid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color w:val="0070C0"/>
          <w:u w:val="single"/>
        </w:rPr>
        <w:t>Política pública Distrital de Comunicación Comunitaria</w:t>
      </w:r>
    </w:p>
    <w:p w14:paraId="4A46AECE" w14:textId="554609B1" w:rsidR="00D1632E" w:rsidRDefault="00D1632E" w:rsidP="00D1632E">
      <w:pPr>
        <w:spacing w:after="0" w:line="276" w:lineRule="auto"/>
        <w:jc w:val="both"/>
        <w:rPr>
          <w:rFonts w:ascii="Times New Roman" w:hAnsi="Times New Roman" w:cs="Times New Roman"/>
        </w:rPr>
      </w:pPr>
    </w:p>
    <w:p w14:paraId="6AD050DB" w14:textId="77777777" w:rsidR="00D1632E" w:rsidRPr="00D1632E" w:rsidRDefault="00D1632E" w:rsidP="00D1632E">
      <w:pPr>
        <w:spacing w:after="0" w:line="276" w:lineRule="auto"/>
        <w:jc w:val="both"/>
        <w:rPr>
          <w:rFonts w:ascii="Times New Roman" w:hAnsi="Times New Roman" w:cs="Times New Roman"/>
        </w:rPr>
      </w:pPr>
    </w:p>
    <w:p w14:paraId="54BAC031" w14:textId="77777777" w:rsidR="00D1632E" w:rsidRPr="00D1632E" w:rsidRDefault="00D1632E" w:rsidP="00D1632E">
      <w:pPr>
        <w:spacing w:after="0" w:line="276" w:lineRule="auto"/>
        <w:jc w:val="both"/>
        <w:rPr>
          <w:rFonts w:ascii="Times New Roman" w:hAnsi="Times New Roman" w:cs="Times New Roman"/>
        </w:rPr>
      </w:pPr>
    </w:p>
    <w:p w14:paraId="1B6C0187"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Estado: Reformulación </w:t>
      </w:r>
    </w:p>
    <w:p w14:paraId="198356D6"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Vigencia: 8 años (vencida) </w:t>
      </w:r>
    </w:p>
    <w:p w14:paraId="5EA70B75"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Líder: IDPAC</w:t>
      </w:r>
    </w:p>
    <w:p w14:paraId="496F7ECA" w14:textId="77777777" w:rsidR="00D1632E" w:rsidRPr="00D1632E" w:rsidRDefault="00D1632E" w:rsidP="00D1632E">
      <w:pPr>
        <w:spacing w:after="0" w:line="276" w:lineRule="auto"/>
        <w:jc w:val="both"/>
        <w:rPr>
          <w:rFonts w:ascii="Times New Roman" w:hAnsi="Times New Roman" w:cs="Times New Roman"/>
        </w:rPr>
      </w:pPr>
    </w:p>
    <w:p w14:paraId="555FEBD1"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Esta Política Pública fue adoptada mediante al Decreto Distrital 150 de 2008 y contaba con una vigencia de 8 años, no obstante, esta política nunca contó con plan de acción e indicadores que materializaran su implementación en el distrito capital.  </w:t>
      </w:r>
    </w:p>
    <w:p w14:paraId="5BE681FF" w14:textId="77777777" w:rsidR="00D1632E" w:rsidRPr="00D1632E" w:rsidRDefault="00D1632E" w:rsidP="00D1632E">
      <w:pPr>
        <w:spacing w:after="0" w:line="276" w:lineRule="auto"/>
        <w:jc w:val="both"/>
        <w:rPr>
          <w:rFonts w:ascii="Times New Roman" w:hAnsi="Times New Roman" w:cs="Times New Roman"/>
        </w:rPr>
      </w:pPr>
    </w:p>
    <w:p w14:paraId="7AEE9CD2" w14:textId="35160202" w:rsid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En el transcurso del 1° trimestre de la vigencia se recibió por parte del IDPAC un documento de balance de política pública al cual se le realizaron observaciones de forma y de fondo. No obstante, no se volvió a enviar desde el IDPAC el documento en su versión final, el cual servirá de insumo para continuar con el proceso de reformulación</w:t>
      </w:r>
    </w:p>
    <w:p w14:paraId="44F14FF6" w14:textId="7895773E" w:rsidR="00D1632E" w:rsidRDefault="00D1632E" w:rsidP="00D1632E">
      <w:pPr>
        <w:spacing w:after="0" w:line="276" w:lineRule="auto"/>
        <w:jc w:val="both"/>
        <w:rPr>
          <w:rFonts w:ascii="Times New Roman" w:hAnsi="Times New Roman" w:cs="Times New Roman"/>
        </w:rPr>
      </w:pPr>
    </w:p>
    <w:p w14:paraId="190C6E6D" w14:textId="0CF50A77" w:rsidR="00D1632E" w:rsidRDefault="00D1632E" w:rsidP="00D1632E">
      <w:pPr>
        <w:spacing w:after="0" w:line="276" w:lineRule="auto"/>
        <w:jc w:val="both"/>
        <w:rPr>
          <w:rFonts w:ascii="Times New Roman" w:hAnsi="Times New Roman" w:cs="Times New Roman"/>
        </w:rPr>
      </w:pPr>
    </w:p>
    <w:p w14:paraId="2F9F39EB" w14:textId="77777777" w:rsidR="00D1632E" w:rsidRDefault="00D1632E" w:rsidP="00D1632E">
      <w:pPr>
        <w:spacing w:after="0" w:line="276" w:lineRule="auto"/>
        <w:jc w:val="both"/>
        <w:rPr>
          <w:rFonts w:ascii="Times New Roman" w:hAnsi="Times New Roman" w:cs="Times New Roman"/>
        </w:rPr>
      </w:pPr>
    </w:p>
    <w:p w14:paraId="222639A0" w14:textId="54B8A2B4" w:rsidR="00F97AE4" w:rsidRPr="00357AF5" w:rsidRDefault="00F97AE4" w:rsidP="00D1632E">
      <w:pPr>
        <w:spacing w:after="0" w:line="276" w:lineRule="auto"/>
        <w:jc w:val="both"/>
        <w:rPr>
          <w:rFonts w:ascii="Times New Roman" w:hAnsi="Times New Roman" w:cs="Times New Roman"/>
          <w:color w:val="0070C0"/>
          <w:u w:val="single"/>
        </w:rPr>
      </w:pPr>
      <w:r w:rsidRPr="00357AF5">
        <w:rPr>
          <w:rFonts w:ascii="Times New Roman" w:hAnsi="Times New Roman" w:cs="Times New Roman"/>
          <w:color w:val="0070C0"/>
          <w:u w:val="single"/>
        </w:rPr>
        <w:t>Política Pública Distrital de Espacio Público.</w:t>
      </w:r>
    </w:p>
    <w:p w14:paraId="2F7D71F6" w14:textId="77777777" w:rsidR="000F7900" w:rsidRDefault="000F7900" w:rsidP="00CC159B">
      <w:pPr>
        <w:spacing w:after="0" w:line="276" w:lineRule="auto"/>
        <w:jc w:val="both"/>
        <w:rPr>
          <w:rFonts w:ascii="Times New Roman" w:hAnsi="Times New Roman" w:cs="Times New Roman"/>
          <w:u w:val="single"/>
        </w:rPr>
      </w:pPr>
    </w:p>
    <w:p w14:paraId="03B6B5F9" w14:textId="77777777" w:rsidR="00D1632E" w:rsidRPr="00D1632E" w:rsidRDefault="00D1632E" w:rsidP="00D1632E">
      <w:pPr>
        <w:spacing w:after="0" w:line="276" w:lineRule="auto"/>
        <w:jc w:val="both"/>
        <w:rPr>
          <w:rFonts w:ascii="Times New Roman" w:hAnsi="Times New Roman" w:cs="Times New Roman"/>
        </w:rPr>
      </w:pPr>
    </w:p>
    <w:p w14:paraId="136FC3A9"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9.</w:t>
      </w:r>
      <w:r w:rsidRPr="00D1632E">
        <w:rPr>
          <w:rFonts w:ascii="Times New Roman" w:hAnsi="Times New Roman" w:cs="Times New Roman"/>
        </w:rPr>
        <w:tab/>
        <w:t>Política Pública Distrital de Espacio Público.</w:t>
      </w:r>
    </w:p>
    <w:p w14:paraId="41B1F8B2" w14:textId="77777777" w:rsidR="00D1632E" w:rsidRPr="00D1632E" w:rsidRDefault="00D1632E" w:rsidP="00D1632E">
      <w:pPr>
        <w:spacing w:after="0" w:line="276" w:lineRule="auto"/>
        <w:jc w:val="both"/>
        <w:rPr>
          <w:rFonts w:ascii="Times New Roman" w:hAnsi="Times New Roman" w:cs="Times New Roman"/>
        </w:rPr>
      </w:pPr>
    </w:p>
    <w:p w14:paraId="639E9762"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Estado: Implementación</w:t>
      </w:r>
    </w:p>
    <w:p w14:paraId="562278D2"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Vigencia: 20 años</w:t>
      </w:r>
    </w:p>
    <w:p w14:paraId="0381F18D" w14:textId="77777777"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Líder: Secretaría Distrital de Gobierno- DADEP</w:t>
      </w:r>
    </w:p>
    <w:p w14:paraId="2B1C58DC" w14:textId="77777777" w:rsidR="00D1632E" w:rsidRPr="00D1632E" w:rsidRDefault="00D1632E" w:rsidP="00D1632E">
      <w:pPr>
        <w:spacing w:after="0" w:line="276" w:lineRule="auto"/>
        <w:jc w:val="both"/>
        <w:rPr>
          <w:rFonts w:ascii="Times New Roman" w:hAnsi="Times New Roman" w:cs="Times New Roman"/>
        </w:rPr>
      </w:pPr>
    </w:p>
    <w:p w14:paraId="32569A52" w14:textId="725C2503" w:rsidR="00D1632E" w:rsidRP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La formulación de esta política surge como una de las estrategias dentro del Plan Distrital de Desarrollo y su proceso de elaboración es liderado por el Departamento Administración de la Defensoría del Espacio Público – DADEP en coordinación con la Secretaría Distrital de Gobierno como la entidad cabeza del Sector Gobierno. En el periodo de tiempo analizado, esta política pública fue presentada en sesión Pre-Conpes D.C en la cual recibió ajustes y recomendaciones. Luego de la retroalimentación esta política surtió un proceso de actualización y revisión por parte de la Secretaría Jurídica Distrital.</w:t>
      </w:r>
      <w:r>
        <w:rPr>
          <w:rFonts w:ascii="Times New Roman" w:hAnsi="Times New Roman" w:cs="Times New Roman"/>
        </w:rPr>
        <w:t xml:space="preserve"> </w:t>
      </w:r>
      <w:r w:rsidRPr="00D1632E">
        <w:rPr>
          <w:rFonts w:ascii="Times New Roman" w:hAnsi="Times New Roman" w:cs="Times New Roman"/>
        </w:rPr>
        <w:t xml:space="preserve">La política fue presentada por el Secretario de Gobierno y aprobada en sesión </w:t>
      </w:r>
      <w:r w:rsidRPr="00D1632E">
        <w:rPr>
          <w:rFonts w:ascii="Times New Roman" w:hAnsi="Times New Roman" w:cs="Times New Roman"/>
        </w:rPr>
        <w:lastRenderedPageBreak/>
        <w:t xml:space="preserve">CONPES D.C el día 15 de diciembre. Actualmente esta política se encuentra establecida a través del Documento CONPES D.C 06.   </w:t>
      </w:r>
    </w:p>
    <w:p w14:paraId="583E7F72" w14:textId="77777777" w:rsidR="00D1632E" w:rsidRDefault="00D1632E" w:rsidP="00D1632E">
      <w:pPr>
        <w:spacing w:after="0" w:line="276" w:lineRule="auto"/>
        <w:jc w:val="both"/>
        <w:rPr>
          <w:rFonts w:ascii="Times New Roman" w:hAnsi="Times New Roman" w:cs="Times New Roman"/>
        </w:rPr>
      </w:pPr>
    </w:p>
    <w:p w14:paraId="3F6B043F" w14:textId="5404D3CF" w:rsidR="00D1632E"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En el primer trimestre de la vigencia 2020, la Secretaría Distrital de Planeación adelantó un ejercicio de revisión del plan de acción y fichas técnicas de resultado y de producto de esta política, encontrando la necesidad de adelantar una actualización de este instrumento. </w:t>
      </w:r>
    </w:p>
    <w:p w14:paraId="2CB0EC74" w14:textId="77777777" w:rsidR="00D1632E" w:rsidRPr="00D1632E" w:rsidRDefault="00D1632E" w:rsidP="00D1632E">
      <w:pPr>
        <w:spacing w:after="0" w:line="276" w:lineRule="auto"/>
        <w:jc w:val="both"/>
        <w:rPr>
          <w:rFonts w:ascii="Times New Roman" w:hAnsi="Times New Roman" w:cs="Times New Roman"/>
        </w:rPr>
      </w:pPr>
    </w:p>
    <w:p w14:paraId="21516FF9" w14:textId="573D42AC" w:rsidR="00D01498" w:rsidRDefault="00D1632E" w:rsidP="00D1632E">
      <w:pPr>
        <w:spacing w:after="0" w:line="276" w:lineRule="auto"/>
        <w:jc w:val="both"/>
        <w:rPr>
          <w:rFonts w:ascii="Times New Roman" w:hAnsi="Times New Roman" w:cs="Times New Roman"/>
        </w:rPr>
      </w:pPr>
      <w:r w:rsidRPr="00D1632E">
        <w:rPr>
          <w:rFonts w:ascii="Times New Roman" w:hAnsi="Times New Roman" w:cs="Times New Roman"/>
        </w:rPr>
        <w:t xml:space="preserve">Desde entonces, el DADEP ha venido desarrollando reuniones con las entidades corresponsables de política pública para validar la consistencia y el alcance de las acciones concertadas en este instrumento. </w:t>
      </w:r>
      <w:r>
        <w:rPr>
          <w:rFonts w:ascii="Times New Roman" w:hAnsi="Times New Roman" w:cs="Times New Roman"/>
        </w:rPr>
        <w:t xml:space="preserve">Este </w:t>
      </w:r>
      <w:r w:rsidRPr="00D1632E">
        <w:rPr>
          <w:rFonts w:ascii="Times New Roman" w:hAnsi="Times New Roman" w:cs="Times New Roman"/>
        </w:rPr>
        <w:t>deberá ser validado en su momento y llevado al comité sectorial de gestión y desempeño para su respectiva aprobación. Una vez se haya surtido este proceso se deberá enviar oficio a la Secretaría Técnica del CONPES para la aprobación de los cambios.</w:t>
      </w:r>
    </w:p>
    <w:p w14:paraId="376FFAD0" w14:textId="77777777" w:rsidR="000F7900" w:rsidRDefault="000F7900" w:rsidP="00CC159B">
      <w:pPr>
        <w:spacing w:after="0" w:line="276" w:lineRule="auto"/>
        <w:jc w:val="both"/>
        <w:rPr>
          <w:rFonts w:ascii="Times New Roman" w:hAnsi="Times New Roman" w:cs="Times New Roman"/>
        </w:rPr>
      </w:pPr>
    </w:p>
    <w:p w14:paraId="2CE7A50B" w14:textId="77777777" w:rsidR="00423AAE" w:rsidRDefault="00423AAE" w:rsidP="00CC159B">
      <w:pPr>
        <w:spacing w:after="0" w:line="276" w:lineRule="auto"/>
        <w:jc w:val="both"/>
        <w:rPr>
          <w:rFonts w:ascii="Times New Roman" w:hAnsi="Times New Roman" w:cs="Times New Roman"/>
          <w:b/>
          <w:sz w:val="24"/>
        </w:rPr>
      </w:pPr>
    </w:p>
    <w:p w14:paraId="783EB070" w14:textId="77777777" w:rsidR="00423AAE" w:rsidRDefault="00423AAE" w:rsidP="00CC159B">
      <w:pPr>
        <w:spacing w:after="0" w:line="276" w:lineRule="auto"/>
        <w:jc w:val="both"/>
        <w:rPr>
          <w:rFonts w:ascii="Times New Roman" w:hAnsi="Times New Roman" w:cs="Times New Roman"/>
          <w:b/>
          <w:sz w:val="24"/>
        </w:rPr>
      </w:pPr>
    </w:p>
    <w:p w14:paraId="5F12D471" w14:textId="77777777" w:rsidR="00423AAE" w:rsidRDefault="00423AAE" w:rsidP="00CC159B">
      <w:pPr>
        <w:spacing w:after="0" w:line="276" w:lineRule="auto"/>
        <w:jc w:val="both"/>
        <w:rPr>
          <w:rFonts w:ascii="Times New Roman" w:hAnsi="Times New Roman" w:cs="Times New Roman"/>
          <w:b/>
          <w:sz w:val="24"/>
        </w:rPr>
      </w:pPr>
    </w:p>
    <w:p w14:paraId="1BFC95F9" w14:textId="77777777" w:rsidR="00423AAE" w:rsidRDefault="00423AAE" w:rsidP="00CC159B">
      <w:pPr>
        <w:spacing w:after="0" w:line="276" w:lineRule="auto"/>
        <w:jc w:val="both"/>
        <w:rPr>
          <w:rFonts w:ascii="Times New Roman" w:hAnsi="Times New Roman" w:cs="Times New Roman"/>
          <w:b/>
          <w:sz w:val="24"/>
        </w:rPr>
      </w:pPr>
    </w:p>
    <w:p w14:paraId="08E5E211" w14:textId="77777777" w:rsidR="00423AAE" w:rsidRDefault="00423AAE" w:rsidP="00CC159B">
      <w:pPr>
        <w:spacing w:after="0" w:line="276" w:lineRule="auto"/>
        <w:jc w:val="both"/>
        <w:rPr>
          <w:rFonts w:ascii="Times New Roman" w:hAnsi="Times New Roman" w:cs="Times New Roman"/>
          <w:b/>
          <w:sz w:val="24"/>
        </w:rPr>
      </w:pPr>
    </w:p>
    <w:p w14:paraId="05792C4F" w14:textId="77777777" w:rsidR="00423AAE" w:rsidRDefault="00423AAE" w:rsidP="00CC159B">
      <w:pPr>
        <w:spacing w:after="0" w:line="276" w:lineRule="auto"/>
        <w:jc w:val="both"/>
        <w:rPr>
          <w:rFonts w:ascii="Times New Roman" w:hAnsi="Times New Roman" w:cs="Times New Roman"/>
          <w:b/>
          <w:sz w:val="24"/>
        </w:rPr>
      </w:pPr>
    </w:p>
    <w:p w14:paraId="2DDCB53A" w14:textId="77777777" w:rsidR="00423AAE" w:rsidRDefault="00423AAE" w:rsidP="00CC159B">
      <w:pPr>
        <w:spacing w:after="0" w:line="276" w:lineRule="auto"/>
        <w:jc w:val="both"/>
        <w:rPr>
          <w:rFonts w:ascii="Times New Roman" w:hAnsi="Times New Roman" w:cs="Times New Roman"/>
          <w:b/>
          <w:sz w:val="24"/>
        </w:rPr>
      </w:pPr>
    </w:p>
    <w:p w14:paraId="21985045" w14:textId="77777777" w:rsidR="00423AAE" w:rsidRDefault="00423AAE" w:rsidP="00CC159B">
      <w:pPr>
        <w:spacing w:after="0" w:line="276" w:lineRule="auto"/>
        <w:jc w:val="both"/>
        <w:rPr>
          <w:rFonts w:ascii="Times New Roman" w:hAnsi="Times New Roman" w:cs="Times New Roman"/>
          <w:b/>
          <w:sz w:val="24"/>
        </w:rPr>
      </w:pPr>
    </w:p>
    <w:p w14:paraId="63E1FE4D" w14:textId="77777777" w:rsidR="00423AAE" w:rsidRDefault="00423AAE" w:rsidP="00CC159B">
      <w:pPr>
        <w:spacing w:after="0" w:line="276" w:lineRule="auto"/>
        <w:jc w:val="both"/>
        <w:rPr>
          <w:rFonts w:ascii="Times New Roman" w:hAnsi="Times New Roman" w:cs="Times New Roman"/>
          <w:b/>
          <w:sz w:val="24"/>
        </w:rPr>
      </w:pPr>
    </w:p>
    <w:p w14:paraId="5B9BC09C" w14:textId="77777777" w:rsidR="00423AAE" w:rsidRDefault="00423AAE" w:rsidP="00CC159B">
      <w:pPr>
        <w:spacing w:after="0" w:line="276" w:lineRule="auto"/>
        <w:jc w:val="both"/>
        <w:rPr>
          <w:rFonts w:ascii="Times New Roman" w:hAnsi="Times New Roman" w:cs="Times New Roman"/>
          <w:b/>
          <w:sz w:val="24"/>
        </w:rPr>
      </w:pPr>
    </w:p>
    <w:p w14:paraId="024B4121" w14:textId="77777777" w:rsidR="00423AAE" w:rsidRDefault="00423AAE" w:rsidP="00CC159B">
      <w:pPr>
        <w:spacing w:after="0" w:line="276" w:lineRule="auto"/>
        <w:jc w:val="both"/>
        <w:rPr>
          <w:rFonts w:ascii="Times New Roman" w:hAnsi="Times New Roman" w:cs="Times New Roman"/>
          <w:b/>
          <w:sz w:val="24"/>
        </w:rPr>
      </w:pPr>
    </w:p>
    <w:p w14:paraId="67838A25" w14:textId="77777777" w:rsidR="00423AAE" w:rsidRDefault="00423AAE" w:rsidP="00CC159B">
      <w:pPr>
        <w:spacing w:after="0" w:line="276" w:lineRule="auto"/>
        <w:jc w:val="both"/>
        <w:rPr>
          <w:rFonts w:ascii="Times New Roman" w:hAnsi="Times New Roman" w:cs="Times New Roman"/>
          <w:b/>
          <w:sz w:val="24"/>
        </w:rPr>
      </w:pPr>
    </w:p>
    <w:p w14:paraId="07AC772D" w14:textId="77777777" w:rsidR="00423AAE" w:rsidRDefault="00423AAE" w:rsidP="00CC159B">
      <w:pPr>
        <w:spacing w:after="0" w:line="276" w:lineRule="auto"/>
        <w:jc w:val="both"/>
        <w:rPr>
          <w:rFonts w:ascii="Times New Roman" w:hAnsi="Times New Roman" w:cs="Times New Roman"/>
          <w:b/>
          <w:sz w:val="24"/>
        </w:rPr>
      </w:pPr>
    </w:p>
    <w:p w14:paraId="5DF5BD2D" w14:textId="3C57999A" w:rsidR="00F97AE4" w:rsidRPr="00A12D92" w:rsidRDefault="00A12D92" w:rsidP="00CC159B">
      <w:pPr>
        <w:spacing w:after="0" w:line="276" w:lineRule="auto"/>
        <w:jc w:val="both"/>
        <w:rPr>
          <w:rFonts w:ascii="Times New Roman" w:hAnsi="Times New Roman" w:cs="Times New Roman"/>
          <w:b/>
          <w:sz w:val="24"/>
        </w:rPr>
      </w:pPr>
      <w:r>
        <w:rPr>
          <w:rFonts w:ascii="Times New Roman" w:hAnsi="Times New Roman" w:cs="Times New Roman"/>
          <w:b/>
          <w:sz w:val="24"/>
        </w:rPr>
        <w:t>C</w:t>
      </w:r>
      <w:r w:rsidR="00F97AE4" w:rsidRPr="00A12D92">
        <w:rPr>
          <w:rFonts w:ascii="Times New Roman" w:hAnsi="Times New Roman" w:cs="Times New Roman"/>
          <w:b/>
          <w:sz w:val="24"/>
        </w:rPr>
        <w:t>uadro Resumen</w:t>
      </w:r>
    </w:p>
    <w:p w14:paraId="3767495B" w14:textId="77777777" w:rsidR="000F7900" w:rsidRPr="003F0AB8" w:rsidRDefault="000F7900" w:rsidP="00CC159B">
      <w:pPr>
        <w:spacing w:after="0" w:line="276" w:lineRule="auto"/>
        <w:jc w:val="both"/>
        <w:rPr>
          <w:rFonts w:ascii="Times New Roman" w:hAnsi="Times New Roman" w:cs="Times New Roman"/>
          <w:b/>
        </w:rPr>
      </w:pPr>
    </w:p>
    <w:p w14:paraId="77568A1A" w14:textId="77777777" w:rsidR="005F5209" w:rsidRDefault="005F5209" w:rsidP="00CC159B">
      <w:pPr>
        <w:spacing w:after="0" w:line="276" w:lineRule="auto"/>
        <w:jc w:val="both"/>
        <w:rPr>
          <w:rFonts w:ascii="Times New Roman" w:hAnsi="Times New Roman" w:cs="Times New Roman"/>
        </w:rPr>
      </w:pPr>
    </w:p>
    <w:p w14:paraId="4DFD0B3E" w14:textId="77777777" w:rsidR="00F97AE4" w:rsidRPr="00BE4038" w:rsidRDefault="00F97AE4" w:rsidP="00CC159B">
      <w:pPr>
        <w:spacing w:after="0" w:line="276" w:lineRule="auto"/>
        <w:jc w:val="both"/>
        <w:rPr>
          <w:rFonts w:ascii="Times New Roman" w:hAnsi="Times New Roman" w:cs="Times New Roman"/>
        </w:rPr>
      </w:pPr>
      <w:r w:rsidRPr="00BE4038">
        <w:rPr>
          <w:rFonts w:ascii="Times New Roman" w:hAnsi="Times New Roman" w:cs="Times New Roman"/>
        </w:rPr>
        <w:t>Para finalizar a continuación se presenta un cuadro resumen del estado de las políticas públicas que lidera el Sector Gobierno</w:t>
      </w:r>
      <w:r w:rsidR="005F5209">
        <w:rPr>
          <w:rFonts w:ascii="Times New Roman" w:hAnsi="Times New Roman" w:cs="Times New Roman"/>
        </w:rPr>
        <w:t>.</w:t>
      </w:r>
    </w:p>
    <w:p w14:paraId="7FA536D7" w14:textId="77777777" w:rsidR="000F7900" w:rsidRPr="00A12D92" w:rsidRDefault="000F7900" w:rsidP="00CC159B">
      <w:pPr>
        <w:spacing w:after="0" w:line="276" w:lineRule="auto"/>
        <w:jc w:val="both"/>
        <w:rPr>
          <w:rFonts w:ascii="Times New Roman" w:hAnsi="Times New Roman" w:cs="Times New Roman"/>
          <w:color w:val="0070C0"/>
        </w:rPr>
      </w:pPr>
    </w:p>
    <w:p w14:paraId="0CA4E914" w14:textId="40905277" w:rsidR="00FF7959" w:rsidRPr="00A12D92" w:rsidRDefault="005531FA" w:rsidP="00CC159B">
      <w:pPr>
        <w:spacing w:after="0" w:line="240" w:lineRule="auto"/>
        <w:jc w:val="both"/>
        <w:rPr>
          <w:rFonts w:ascii="Times New Roman" w:hAnsi="Times New Roman" w:cs="Times New Roman"/>
          <w:b/>
          <w:color w:val="0070C0"/>
          <w:sz w:val="24"/>
        </w:rPr>
      </w:pPr>
      <w:r>
        <w:rPr>
          <w:rFonts w:ascii="Times New Roman" w:hAnsi="Times New Roman" w:cs="Times New Roman"/>
          <w:b/>
          <w:color w:val="0070C0"/>
          <w:sz w:val="24"/>
        </w:rPr>
        <w:t xml:space="preserve">Tabla No. 1 </w:t>
      </w:r>
      <w:r w:rsidR="00F97AE4" w:rsidRPr="00A12D92">
        <w:rPr>
          <w:rFonts w:ascii="Times New Roman" w:hAnsi="Times New Roman" w:cs="Times New Roman"/>
          <w:b/>
          <w:color w:val="0070C0"/>
          <w:sz w:val="24"/>
        </w:rPr>
        <w:t>Estado Actual de las Políticas Públicas que lidera el Sector Gobierno</w:t>
      </w:r>
      <w:r w:rsidR="00FF7959" w:rsidRPr="00A12D92">
        <w:rPr>
          <w:rFonts w:ascii="Times New Roman" w:hAnsi="Times New Roman" w:cs="Times New Roman"/>
          <w:b/>
          <w:color w:val="0070C0"/>
          <w:sz w:val="24"/>
        </w:rPr>
        <w:t xml:space="preserve"> - </w:t>
      </w:r>
    </w:p>
    <w:p w14:paraId="0035D6D6" w14:textId="2D682977" w:rsidR="00F97AE4" w:rsidRPr="00A12D92" w:rsidRDefault="00276711" w:rsidP="00CC159B">
      <w:pPr>
        <w:spacing w:after="0" w:line="240" w:lineRule="auto"/>
        <w:jc w:val="both"/>
        <w:rPr>
          <w:rFonts w:ascii="Times New Roman" w:hAnsi="Times New Roman" w:cs="Times New Roman"/>
          <w:b/>
          <w:color w:val="0070C0"/>
          <w:sz w:val="24"/>
        </w:rPr>
      </w:pPr>
      <w:r>
        <w:rPr>
          <w:rFonts w:ascii="Times New Roman" w:hAnsi="Times New Roman" w:cs="Times New Roman"/>
          <w:b/>
          <w:color w:val="0070C0"/>
          <w:sz w:val="24"/>
        </w:rPr>
        <w:t>Julio</w:t>
      </w:r>
      <w:r w:rsidR="00FF7959" w:rsidRPr="00A12D92">
        <w:rPr>
          <w:rFonts w:ascii="Times New Roman" w:hAnsi="Times New Roman" w:cs="Times New Roman"/>
          <w:b/>
          <w:color w:val="0070C0"/>
          <w:sz w:val="24"/>
        </w:rPr>
        <w:t xml:space="preserve"> </w:t>
      </w:r>
      <w:r>
        <w:rPr>
          <w:rFonts w:ascii="Times New Roman" w:hAnsi="Times New Roman" w:cs="Times New Roman"/>
          <w:b/>
          <w:color w:val="0070C0"/>
          <w:sz w:val="24"/>
        </w:rPr>
        <w:t>2020</w:t>
      </w:r>
    </w:p>
    <w:p w14:paraId="2C7F859E" w14:textId="77777777" w:rsidR="00281B02" w:rsidRPr="00696F7D" w:rsidRDefault="00281B02" w:rsidP="00CC159B">
      <w:pPr>
        <w:spacing w:after="0" w:line="240" w:lineRule="auto"/>
        <w:jc w:val="both"/>
        <w:rPr>
          <w:rFonts w:ascii="Times New Roman" w:hAnsi="Times New Roman" w:cs="Times New Roman"/>
          <w:b/>
          <w:sz w:val="24"/>
        </w:rPr>
      </w:pPr>
    </w:p>
    <w:tbl>
      <w:tblPr>
        <w:tblStyle w:val="TableGrid"/>
        <w:tblW w:w="9535" w:type="dxa"/>
        <w:jc w:val="center"/>
        <w:tblLook w:val="04A0" w:firstRow="1" w:lastRow="0" w:firstColumn="1" w:lastColumn="0" w:noHBand="0" w:noVBand="1"/>
      </w:tblPr>
      <w:tblGrid>
        <w:gridCol w:w="511"/>
        <w:gridCol w:w="3114"/>
        <w:gridCol w:w="994"/>
        <w:gridCol w:w="675"/>
        <w:gridCol w:w="986"/>
        <w:gridCol w:w="1189"/>
        <w:gridCol w:w="955"/>
        <w:gridCol w:w="1111"/>
      </w:tblGrid>
      <w:tr w:rsidR="00346DBE" w:rsidRPr="000F3962" w14:paraId="0E244E3C" w14:textId="77777777" w:rsidTr="00FA6C8C">
        <w:trPr>
          <w:tblHeader/>
          <w:jc w:val="center"/>
        </w:trPr>
        <w:tc>
          <w:tcPr>
            <w:tcW w:w="511" w:type="dxa"/>
            <w:vMerge w:val="restart"/>
            <w:shd w:val="clear" w:color="auto" w:fill="D9D9D9" w:themeFill="background1" w:themeFillShade="D9"/>
            <w:vAlign w:val="center"/>
          </w:tcPr>
          <w:p w14:paraId="3335C8E1"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No.</w:t>
            </w:r>
          </w:p>
        </w:tc>
        <w:tc>
          <w:tcPr>
            <w:tcW w:w="3114" w:type="dxa"/>
            <w:vMerge w:val="restart"/>
            <w:shd w:val="clear" w:color="auto" w:fill="D9D9D9" w:themeFill="background1" w:themeFillShade="D9"/>
            <w:vAlign w:val="center"/>
          </w:tcPr>
          <w:p w14:paraId="316836BB"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Política Pública</w:t>
            </w:r>
          </w:p>
        </w:tc>
        <w:tc>
          <w:tcPr>
            <w:tcW w:w="5910" w:type="dxa"/>
            <w:gridSpan w:val="6"/>
            <w:shd w:val="clear" w:color="auto" w:fill="D9D9D9" w:themeFill="background1" w:themeFillShade="D9"/>
            <w:vAlign w:val="center"/>
          </w:tcPr>
          <w:p w14:paraId="0608795B"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Fase</w:t>
            </w:r>
            <w:r w:rsidR="000F7900" w:rsidRPr="000F3962">
              <w:rPr>
                <w:rFonts w:ascii="Times New Roman" w:hAnsi="Times New Roman" w:cs="Times New Roman"/>
                <w:b/>
                <w:sz w:val="20"/>
                <w:szCs w:val="20"/>
              </w:rPr>
              <w:t>s</w:t>
            </w:r>
            <w:r w:rsidRPr="000F3962">
              <w:rPr>
                <w:rFonts w:ascii="Times New Roman" w:hAnsi="Times New Roman" w:cs="Times New Roman"/>
                <w:b/>
                <w:sz w:val="20"/>
                <w:szCs w:val="20"/>
              </w:rPr>
              <w:t xml:space="preserve"> de política públicas</w:t>
            </w:r>
          </w:p>
        </w:tc>
      </w:tr>
      <w:tr w:rsidR="000F7900" w:rsidRPr="000F3962" w14:paraId="0282B994" w14:textId="77777777" w:rsidTr="00FA6C8C">
        <w:trPr>
          <w:tblHeader/>
          <w:jc w:val="center"/>
        </w:trPr>
        <w:tc>
          <w:tcPr>
            <w:tcW w:w="511" w:type="dxa"/>
            <w:vMerge/>
            <w:shd w:val="clear" w:color="auto" w:fill="D9D9D9" w:themeFill="background1" w:themeFillShade="D9"/>
            <w:vAlign w:val="center"/>
          </w:tcPr>
          <w:p w14:paraId="21DA13CA" w14:textId="77777777" w:rsidR="00F97AE4" w:rsidRPr="000F3962" w:rsidRDefault="00F97AE4" w:rsidP="00CC159B">
            <w:pPr>
              <w:jc w:val="both"/>
              <w:rPr>
                <w:rFonts w:ascii="Times New Roman" w:hAnsi="Times New Roman" w:cs="Times New Roman"/>
                <w:b/>
                <w:sz w:val="20"/>
                <w:szCs w:val="20"/>
              </w:rPr>
            </w:pPr>
          </w:p>
        </w:tc>
        <w:tc>
          <w:tcPr>
            <w:tcW w:w="3114" w:type="dxa"/>
            <w:vMerge/>
            <w:shd w:val="clear" w:color="auto" w:fill="D9D9D9" w:themeFill="background1" w:themeFillShade="D9"/>
            <w:vAlign w:val="center"/>
          </w:tcPr>
          <w:p w14:paraId="4635E481" w14:textId="77777777" w:rsidR="00F97AE4" w:rsidRPr="000F3962" w:rsidRDefault="00F97AE4" w:rsidP="00CC159B">
            <w:pPr>
              <w:jc w:val="both"/>
              <w:rPr>
                <w:rFonts w:ascii="Times New Roman" w:hAnsi="Times New Roman" w:cs="Times New Roman"/>
                <w:b/>
                <w:sz w:val="20"/>
                <w:szCs w:val="20"/>
              </w:rPr>
            </w:pPr>
          </w:p>
        </w:tc>
        <w:tc>
          <w:tcPr>
            <w:tcW w:w="994" w:type="dxa"/>
            <w:shd w:val="clear" w:color="auto" w:fill="D9D9D9" w:themeFill="background1" w:themeFillShade="D9"/>
            <w:vAlign w:val="center"/>
          </w:tcPr>
          <w:p w14:paraId="1C8C0494" w14:textId="77777777" w:rsidR="00F97AE4" w:rsidRPr="00346DBE" w:rsidRDefault="00346DBE" w:rsidP="00CC159B">
            <w:pPr>
              <w:jc w:val="both"/>
              <w:rPr>
                <w:rFonts w:ascii="Times New Roman" w:hAnsi="Times New Roman" w:cs="Times New Roman"/>
                <w:b/>
                <w:sz w:val="14"/>
                <w:szCs w:val="10"/>
              </w:rPr>
            </w:pPr>
            <w:r w:rsidRPr="00346DBE">
              <w:rPr>
                <w:rFonts w:ascii="Times New Roman" w:hAnsi="Times New Roman" w:cs="Times New Roman"/>
                <w:b/>
                <w:sz w:val="14"/>
                <w:szCs w:val="10"/>
              </w:rPr>
              <w:t>Preparatoria</w:t>
            </w:r>
          </w:p>
        </w:tc>
        <w:tc>
          <w:tcPr>
            <w:tcW w:w="675" w:type="dxa"/>
            <w:shd w:val="clear" w:color="auto" w:fill="D9D9D9" w:themeFill="background1" w:themeFillShade="D9"/>
            <w:vAlign w:val="center"/>
          </w:tcPr>
          <w:p w14:paraId="429861D4" w14:textId="77777777" w:rsidR="00F97AE4" w:rsidRPr="00346DBE" w:rsidRDefault="00346DBE" w:rsidP="00CC159B">
            <w:pPr>
              <w:jc w:val="both"/>
              <w:rPr>
                <w:rFonts w:ascii="Times New Roman" w:hAnsi="Times New Roman" w:cs="Times New Roman"/>
                <w:b/>
                <w:sz w:val="14"/>
                <w:szCs w:val="10"/>
              </w:rPr>
            </w:pPr>
            <w:r w:rsidRPr="00346DBE">
              <w:rPr>
                <w:rFonts w:ascii="Times New Roman" w:hAnsi="Times New Roman" w:cs="Times New Roman"/>
                <w:b/>
                <w:sz w:val="14"/>
                <w:szCs w:val="10"/>
              </w:rPr>
              <w:t>Agenda pública</w:t>
            </w:r>
          </w:p>
        </w:tc>
        <w:tc>
          <w:tcPr>
            <w:tcW w:w="986" w:type="dxa"/>
            <w:shd w:val="clear" w:color="auto" w:fill="D9D9D9" w:themeFill="background1" w:themeFillShade="D9"/>
            <w:vAlign w:val="center"/>
          </w:tcPr>
          <w:p w14:paraId="6AEDE777" w14:textId="77777777" w:rsidR="00F97AE4" w:rsidRPr="00346DBE" w:rsidRDefault="00346DBE" w:rsidP="00CC159B">
            <w:pPr>
              <w:jc w:val="both"/>
              <w:rPr>
                <w:rFonts w:ascii="Times New Roman" w:hAnsi="Times New Roman" w:cs="Times New Roman"/>
                <w:b/>
                <w:sz w:val="14"/>
                <w:szCs w:val="10"/>
              </w:rPr>
            </w:pPr>
            <w:r w:rsidRPr="00346DBE">
              <w:rPr>
                <w:rFonts w:ascii="Times New Roman" w:hAnsi="Times New Roman" w:cs="Times New Roman"/>
                <w:b/>
                <w:sz w:val="14"/>
                <w:szCs w:val="10"/>
              </w:rPr>
              <w:t>Formulación</w:t>
            </w:r>
          </w:p>
        </w:tc>
        <w:tc>
          <w:tcPr>
            <w:tcW w:w="1189" w:type="dxa"/>
            <w:shd w:val="clear" w:color="auto" w:fill="D9D9D9" w:themeFill="background1" w:themeFillShade="D9"/>
            <w:vAlign w:val="center"/>
          </w:tcPr>
          <w:p w14:paraId="43D5BE2F" w14:textId="77777777" w:rsidR="00F97AE4" w:rsidRPr="00346DBE" w:rsidRDefault="00346DBE" w:rsidP="00CC159B">
            <w:pPr>
              <w:jc w:val="both"/>
              <w:rPr>
                <w:rFonts w:ascii="Times New Roman" w:hAnsi="Times New Roman" w:cs="Times New Roman"/>
                <w:b/>
                <w:sz w:val="14"/>
                <w:szCs w:val="10"/>
              </w:rPr>
            </w:pPr>
            <w:r w:rsidRPr="00346DBE">
              <w:rPr>
                <w:rFonts w:ascii="Times New Roman" w:hAnsi="Times New Roman" w:cs="Times New Roman"/>
                <w:b/>
                <w:sz w:val="14"/>
                <w:szCs w:val="10"/>
              </w:rPr>
              <w:t>Implementación</w:t>
            </w:r>
          </w:p>
        </w:tc>
        <w:tc>
          <w:tcPr>
            <w:tcW w:w="955" w:type="dxa"/>
            <w:shd w:val="clear" w:color="auto" w:fill="D9D9D9" w:themeFill="background1" w:themeFillShade="D9"/>
            <w:vAlign w:val="center"/>
          </w:tcPr>
          <w:p w14:paraId="79EDF7F3" w14:textId="77777777" w:rsidR="00F97AE4" w:rsidRPr="00346DBE" w:rsidRDefault="00346DBE" w:rsidP="00CC159B">
            <w:pPr>
              <w:jc w:val="both"/>
              <w:rPr>
                <w:rFonts w:ascii="Times New Roman" w:hAnsi="Times New Roman" w:cs="Times New Roman"/>
                <w:b/>
                <w:sz w:val="14"/>
                <w:szCs w:val="10"/>
              </w:rPr>
            </w:pPr>
            <w:r w:rsidRPr="00346DBE">
              <w:rPr>
                <w:rFonts w:ascii="Times New Roman" w:hAnsi="Times New Roman" w:cs="Times New Roman"/>
                <w:b/>
                <w:sz w:val="14"/>
                <w:szCs w:val="10"/>
              </w:rPr>
              <w:t>Seguimiento y evaluación</w:t>
            </w:r>
          </w:p>
        </w:tc>
        <w:tc>
          <w:tcPr>
            <w:tcW w:w="1111" w:type="dxa"/>
            <w:shd w:val="clear" w:color="auto" w:fill="D9D9D9" w:themeFill="background1" w:themeFillShade="D9"/>
            <w:vAlign w:val="center"/>
          </w:tcPr>
          <w:p w14:paraId="394E0E2D" w14:textId="77777777" w:rsidR="00F97AE4" w:rsidRPr="00346DBE" w:rsidRDefault="00346DBE" w:rsidP="00CC159B">
            <w:pPr>
              <w:jc w:val="both"/>
              <w:rPr>
                <w:rFonts w:ascii="Times New Roman" w:hAnsi="Times New Roman" w:cs="Times New Roman"/>
                <w:b/>
                <w:sz w:val="14"/>
                <w:szCs w:val="10"/>
              </w:rPr>
            </w:pPr>
            <w:r w:rsidRPr="00346DBE">
              <w:rPr>
                <w:rFonts w:ascii="Times New Roman" w:hAnsi="Times New Roman" w:cs="Times New Roman"/>
                <w:b/>
                <w:sz w:val="14"/>
                <w:szCs w:val="10"/>
              </w:rPr>
              <w:t>Reformulación</w:t>
            </w:r>
          </w:p>
        </w:tc>
      </w:tr>
      <w:tr w:rsidR="000F7900" w:rsidRPr="000F3962" w14:paraId="33CDB9CC" w14:textId="77777777" w:rsidTr="00FA6C8C">
        <w:trPr>
          <w:jc w:val="center"/>
        </w:trPr>
        <w:tc>
          <w:tcPr>
            <w:tcW w:w="511" w:type="dxa"/>
            <w:vAlign w:val="center"/>
          </w:tcPr>
          <w:p w14:paraId="6C162573"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1</w:t>
            </w:r>
          </w:p>
        </w:tc>
        <w:tc>
          <w:tcPr>
            <w:tcW w:w="3114" w:type="dxa"/>
            <w:vAlign w:val="center"/>
          </w:tcPr>
          <w:p w14:paraId="28A79FF2"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de Transparencia, Integridad y No Tolerancia con la Corrupción.</w:t>
            </w:r>
          </w:p>
        </w:tc>
        <w:tc>
          <w:tcPr>
            <w:tcW w:w="994" w:type="dxa"/>
            <w:vAlign w:val="center"/>
          </w:tcPr>
          <w:p w14:paraId="41AFD85D"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120C2C46"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780B2DA7" w14:textId="100B8F21" w:rsidR="00F97AE4" w:rsidRPr="000F3962" w:rsidRDefault="00F97AE4" w:rsidP="00CC159B">
            <w:pPr>
              <w:jc w:val="both"/>
              <w:rPr>
                <w:rFonts w:ascii="Times New Roman" w:hAnsi="Times New Roman" w:cs="Times New Roman"/>
                <w:b/>
                <w:sz w:val="20"/>
                <w:szCs w:val="20"/>
              </w:rPr>
            </w:pPr>
          </w:p>
        </w:tc>
        <w:tc>
          <w:tcPr>
            <w:tcW w:w="1189" w:type="dxa"/>
            <w:vAlign w:val="center"/>
          </w:tcPr>
          <w:p w14:paraId="5FE350A9" w14:textId="267E90C0"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c>
          <w:tcPr>
            <w:tcW w:w="955" w:type="dxa"/>
            <w:vAlign w:val="center"/>
          </w:tcPr>
          <w:p w14:paraId="2E9A39F0"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6DAD7E28" w14:textId="77777777" w:rsidR="00F97AE4" w:rsidRPr="000F3962" w:rsidRDefault="00F97AE4" w:rsidP="00CC159B">
            <w:pPr>
              <w:jc w:val="both"/>
              <w:rPr>
                <w:rFonts w:ascii="Times New Roman" w:hAnsi="Times New Roman" w:cs="Times New Roman"/>
                <w:b/>
                <w:sz w:val="20"/>
                <w:szCs w:val="20"/>
              </w:rPr>
            </w:pPr>
          </w:p>
        </w:tc>
      </w:tr>
      <w:tr w:rsidR="000F7900" w:rsidRPr="000F3962" w14:paraId="70E38FC4" w14:textId="77777777" w:rsidTr="00FA6C8C">
        <w:trPr>
          <w:jc w:val="center"/>
        </w:trPr>
        <w:tc>
          <w:tcPr>
            <w:tcW w:w="511" w:type="dxa"/>
            <w:vAlign w:val="center"/>
          </w:tcPr>
          <w:p w14:paraId="765D84EC"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2</w:t>
            </w:r>
          </w:p>
        </w:tc>
        <w:tc>
          <w:tcPr>
            <w:tcW w:w="3114" w:type="dxa"/>
            <w:vAlign w:val="center"/>
          </w:tcPr>
          <w:p w14:paraId="7CC14C50"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Integral de Derechos Humanos</w:t>
            </w:r>
          </w:p>
        </w:tc>
        <w:tc>
          <w:tcPr>
            <w:tcW w:w="994" w:type="dxa"/>
            <w:vAlign w:val="center"/>
          </w:tcPr>
          <w:p w14:paraId="1E999F90"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068B0C97"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1F6EB5F4" w14:textId="6083CC39" w:rsidR="00F97AE4" w:rsidRPr="000F3962" w:rsidRDefault="00F97AE4" w:rsidP="00CC159B">
            <w:pPr>
              <w:jc w:val="both"/>
              <w:rPr>
                <w:rFonts w:ascii="Times New Roman" w:hAnsi="Times New Roman" w:cs="Times New Roman"/>
                <w:b/>
                <w:sz w:val="20"/>
                <w:szCs w:val="20"/>
              </w:rPr>
            </w:pPr>
          </w:p>
        </w:tc>
        <w:tc>
          <w:tcPr>
            <w:tcW w:w="1189" w:type="dxa"/>
            <w:vAlign w:val="center"/>
          </w:tcPr>
          <w:p w14:paraId="754714D9" w14:textId="3B3E8292"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c>
          <w:tcPr>
            <w:tcW w:w="955" w:type="dxa"/>
            <w:vAlign w:val="center"/>
          </w:tcPr>
          <w:p w14:paraId="42F7C669"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36839478" w14:textId="77777777" w:rsidR="00F97AE4" w:rsidRPr="000F3962" w:rsidRDefault="00F97AE4" w:rsidP="00CC159B">
            <w:pPr>
              <w:jc w:val="both"/>
              <w:rPr>
                <w:rFonts w:ascii="Times New Roman" w:hAnsi="Times New Roman" w:cs="Times New Roman"/>
                <w:b/>
                <w:sz w:val="20"/>
                <w:szCs w:val="20"/>
              </w:rPr>
            </w:pPr>
          </w:p>
        </w:tc>
      </w:tr>
      <w:tr w:rsidR="000F7900" w:rsidRPr="000F3962" w14:paraId="0BACCB79" w14:textId="77777777" w:rsidTr="00FA6C8C">
        <w:trPr>
          <w:jc w:val="center"/>
        </w:trPr>
        <w:tc>
          <w:tcPr>
            <w:tcW w:w="511" w:type="dxa"/>
            <w:vAlign w:val="center"/>
          </w:tcPr>
          <w:p w14:paraId="650F39AD"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3</w:t>
            </w:r>
          </w:p>
        </w:tc>
        <w:tc>
          <w:tcPr>
            <w:tcW w:w="3114" w:type="dxa"/>
            <w:vAlign w:val="center"/>
          </w:tcPr>
          <w:p w14:paraId="14249C35"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 xml:space="preserve">Política Pública para el Reconocimiento de la Diversidad </w:t>
            </w:r>
            <w:r w:rsidRPr="000F3962">
              <w:rPr>
                <w:rFonts w:ascii="Times New Roman" w:hAnsi="Times New Roman" w:cs="Times New Roman"/>
                <w:sz w:val="20"/>
                <w:szCs w:val="20"/>
              </w:rPr>
              <w:lastRenderedPageBreak/>
              <w:t>Cultural y la Garantía de los Derechos de los Afrodescendientes.</w:t>
            </w:r>
          </w:p>
        </w:tc>
        <w:tc>
          <w:tcPr>
            <w:tcW w:w="994" w:type="dxa"/>
            <w:vAlign w:val="center"/>
          </w:tcPr>
          <w:p w14:paraId="5B89687B"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417A1E9C"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04F51E0B" w14:textId="77777777" w:rsidR="00F97AE4" w:rsidRPr="000F3962" w:rsidRDefault="00F97AE4" w:rsidP="00CC159B">
            <w:pPr>
              <w:jc w:val="both"/>
              <w:rPr>
                <w:rFonts w:ascii="Times New Roman" w:hAnsi="Times New Roman" w:cs="Times New Roman"/>
                <w:b/>
                <w:sz w:val="20"/>
                <w:szCs w:val="20"/>
              </w:rPr>
            </w:pPr>
          </w:p>
        </w:tc>
        <w:tc>
          <w:tcPr>
            <w:tcW w:w="1189" w:type="dxa"/>
            <w:vAlign w:val="center"/>
          </w:tcPr>
          <w:p w14:paraId="4A8E3787"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X</w:t>
            </w:r>
          </w:p>
        </w:tc>
        <w:tc>
          <w:tcPr>
            <w:tcW w:w="955" w:type="dxa"/>
            <w:vAlign w:val="center"/>
          </w:tcPr>
          <w:p w14:paraId="4CF52456"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737FDF77" w14:textId="6823E90A"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r>
      <w:tr w:rsidR="000F7900" w:rsidRPr="000F3962" w14:paraId="47B158D0" w14:textId="77777777" w:rsidTr="00FA6C8C">
        <w:trPr>
          <w:jc w:val="center"/>
        </w:trPr>
        <w:tc>
          <w:tcPr>
            <w:tcW w:w="511" w:type="dxa"/>
            <w:vAlign w:val="center"/>
          </w:tcPr>
          <w:p w14:paraId="7F06A284"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4</w:t>
            </w:r>
          </w:p>
        </w:tc>
        <w:tc>
          <w:tcPr>
            <w:tcW w:w="3114" w:type="dxa"/>
            <w:vAlign w:val="center"/>
          </w:tcPr>
          <w:p w14:paraId="3C959FAF"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para el Reconocimiento de la Diversidad Cultural, la Garantía, la Protección y el Restablecimiento de los Derechos de la Población Raizal en Bogotá.</w:t>
            </w:r>
          </w:p>
        </w:tc>
        <w:tc>
          <w:tcPr>
            <w:tcW w:w="994" w:type="dxa"/>
            <w:vAlign w:val="center"/>
          </w:tcPr>
          <w:p w14:paraId="531BCE9F"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6CD27FA1"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62772378" w14:textId="77777777" w:rsidR="00F97AE4" w:rsidRPr="000F3962" w:rsidRDefault="00F97AE4" w:rsidP="00CC159B">
            <w:pPr>
              <w:jc w:val="both"/>
              <w:rPr>
                <w:rFonts w:ascii="Times New Roman" w:hAnsi="Times New Roman" w:cs="Times New Roman"/>
                <w:b/>
                <w:sz w:val="20"/>
                <w:szCs w:val="20"/>
              </w:rPr>
            </w:pPr>
          </w:p>
        </w:tc>
        <w:tc>
          <w:tcPr>
            <w:tcW w:w="1189" w:type="dxa"/>
            <w:vAlign w:val="center"/>
          </w:tcPr>
          <w:p w14:paraId="0F98A6A9"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X</w:t>
            </w:r>
          </w:p>
        </w:tc>
        <w:tc>
          <w:tcPr>
            <w:tcW w:w="955" w:type="dxa"/>
            <w:vAlign w:val="center"/>
          </w:tcPr>
          <w:p w14:paraId="6E3E62BB"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6A5E88C2" w14:textId="44B001D8"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r>
      <w:tr w:rsidR="000F7900" w:rsidRPr="000F3962" w14:paraId="419B24C7" w14:textId="77777777" w:rsidTr="00FA6C8C">
        <w:trPr>
          <w:jc w:val="center"/>
        </w:trPr>
        <w:tc>
          <w:tcPr>
            <w:tcW w:w="511" w:type="dxa"/>
            <w:vAlign w:val="center"/>
          </w:tcPr>
          <w:p w14:paraId="79A8F156"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5</w:t>
            </w:r>
          </w:p>
        </w:tc>
        <w:tc>
          <w:tcPr>
            <w:tcW w:w="3114" w:type="dxa"/>
            <w:vAlign w:val="center"/>
          </w:tcPr>
          <w:p w14:paraId="613F5EE9"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para los Pueblos Indígenas en Bogotá.</w:t>
            </w:r>
          </w:p>
        </w:tc>
        <w:tc>
          <w:tcPr>
            <w:tcW w:w="994" w:type="dxa"/>
            <w:vAlign w:val="center"/>
          </w:tcPr>
          <w:p w14:paraId="5728F56C"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595C15D6"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3CBE9845" w14:textId="77777777" w:rsidR="00F97AE4" w:rsidRPr="000F3962" w:rsidRDefault="00F97AE4" w:rsidP="00CC159B">
            <w:pPr>
              <w:jc w:val="both"/>
              <w:rPr>
                <w:rFonts w:ascii="Times New Roman" w:hAnsi="Times New Roman" w:cs="Times New Roman"/>
                <w:b/>
                <w:sz w:val="20"/>
                <w:szCs w:val="20"/>
              </w:rPr>
            </w:pPr>
          </w:p>
        </w:tc>
        <w:tc>
          <w:tcPr>
            <w:tcW w:w="1189" w:type="dxa"/>
            <w:vAlign w:val="center"/>
          </w:tcPr>
          <w:p w14:paraId="76E46D9F"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X</w:t>
            </w:r>
          </w:p>
        </w:tc>
        <w:tc>
          <w:tcPr>
            <w:tcW w:w="955" w:type="dxa"/>
            <w:vAlign w:val="center"/>
          </w:tcPr>
          <w:p w14:paraId="344E75CE"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410A4238" w14:textId="2F4393D0"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r>
      <w:tr w:rsidR="000F7900" w:rsidRPr="000F3962" w14:paraId="169F9D02" w14:textId="77777777" w:rsidTr="00FA6C8C">
        <w:trPr>
          <w:jc w:val="center"/>
        </w:trPr>
        <w:tc>
          <w:tcPr>
            <w:tcW w:w="511" w:type="dxa"/>
            <w:vAlign w:val="center"/>
          </w:tcPr>
          <w:p w14:paraId="77DEB63D"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6</w:t>
            </w:r>
          </w:p>
        </w:tc>
        <w:tc>
          <w:tcPr>
            <w:tcW w:w="3114" w:type="dxa"/>
            <w:vAlign w:val="center"/>
          </w:tcPr>
          <w:p w14:paraId="36023B18"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para el Reconocimiento de la Diversidad Cultural, la Garantía, la Protección y el Restablecimiento de los Derechos del Pueblo Étnico Rrom o Gitano en Bogotá.</w:t>
            </w:r>
          </w:p>
        </w:tc>
        <w:tc>
          <w:tcPr>
            <w:tcW w:w="994" w:type="dxa"/>
            <w:vAlign w:val="center"/>
          </w:tcPr>
          <w:p w14:paraId="0EA1E828"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7453F13D"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535A9F87" w14:textId="77777777" w:rsidR="00F97AE4" w:rsidRPr="000F3962" w:rsidRDefault="00F97AE4" w:rsidP="00CC159B">
            <w:pPr>
              <w:jc w:val="both"/>
              <w:rPr>
                <w:rFonts w:ascii="Times New Roman" w:hAnsi="Times New Roman" w:cs="Times New Roman"/>
                <w:b/>
                <w:sz w:val="20"/>
                <w:szCs w:val="20"/>
              </w:rPr>
            </w:pPr>
          </w:p>
        </w:tc>
        <w:tc>
          <w:tcPr>
            <w:tcW w:w="1189" w:type="dxa"/>
            <w:vAlign w:val="center"/>
          </w:tcPr>
          <w:p w14:paraId="56A6ED4F"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X</w:t>
            </w:r>
          </w:p>
        </w:tc>
        <w:tc>
          <w:tcPr>
            <w:tcW w:w="955" w:type="dxa"/>
            <w:vAlign w:val="center"/>
          </w:tcPr>
          <w:p w14:paraId="5CEAE5C9"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3A7E340D" w14:textId="4E8A4BF5"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r>
      <w:tr w:rsidR="00D1632E" w:rsidRPr="000F3962" w14:paraId="0DC585E3" w14:textId="77777777" w:rsidTr="00FA6C8C">
        <w:trPr>
          <w:jc w:val="center"/>
        </w:trPr>
        <w:tc>
          <w:tcPr>
            <w:tcW w:w="511" w:type="dxa"/>
            <w:vAlign w:val="center"/>
          </w:tcPr>
          <w:p w14:paraId="7B74BA82" w14:textId="5F5C032B" w:rsidR="00D1632E" w:rsidRPr="000F3962" w:rsidRDefault="00D1632E" w:rsidP="00CC159B">
            <w:pPr>
              <w:jc w:val="both"/>
              <w:rPr>
                <w:rFonts w:ascii="Times New Roman" w:hAnsi="Times New Roman" w:cs="Times New Roman"/>
                <w:sz w:val="20"/>
                <w:szCs w:val="20"/>
              </w:rPr>
            </w:pPr>
            <w:r>
              <w:rPr>
                <w:rFonts w:ascii="Times New Roman" w:hAnsi="Times New Roman" w:cs="Times New Roman"/>
                <w:sz w:val="20"/>
                <w:szCs w:val="20"/>
              </w:rPr>
              <w:t>7</w:t>
            </w:r>
          </w:p>
        </w:tc>
        <w:tc>
          <w:tcPr>
            <w:tcW w:w="3114" w:type="dxa"/>
            <w:vAlign w:val="center"/>
          </w:tcPr>
          <w:p w14:paraId="4823F5C0" w14:textId="0CDB97D2" w:rsidR="00D1632E" w:rsidRPr="000F3962" w:rsidRDefault="00D1632E" w:rsidP="00CC159B">
            <w:pPr>
              <w:jc w:val="both"/>
              <w:rPr>
                <w:rFonts w:ascii="Times New Roman" w:hAnsi="Times New Roman" w:cs="Times New Roman"/>
                <w:sz w:val="20"/>
                <w:szCs w:val="20"/>
              </w:rPr>
            </w:pPr>
            <w:r w:rsidRPr="00D1632E">
              <w:rPr>
                <w:rFonts w:ascii="Times New Roman" w:hAnsi="Times New Roman" w:cs="Times New Roman"/>
                <w:sz w:val="20"/>
                <w:szCs w:val="20"/>
              </w:rPr>
              <w:t>Política Pública de Transparencia, Integridad y No Tolerancia con la Corrupción</w:t>
            </w:r>
          </w:p>
        </w:tc>
        <w:tc>
          <w:tcPr>
            <w:tcW w:w="994" w:type="dxa"/>
            <w:vAlign w:val="center"/>
          </w:tcPr>
          <w:p w14:paraId="2697AF94" w14:textId="77777777" w:rsidR="00D1632E" w:rsidRPr="000F3962" w:rsidRDefault="00D1632E" w:rsidP="00CC159B">
            <w:pPr>
              <w:jc w:val="both"/>
              <w:rPr>
                <w:rFonts w:ascii="Times New Roman" w:hAnsi="Times New Roman" w:cs="Times New Roman"/>
                <w:b/>
                <w:sz w:val="20"/>
                <w:szCs w:val="20"/>
              </w:rPr>
            </w:pPr>
          </w:p>
        </w:tc>
        <w:tc>
          <w:tcPr>
            <w:tcW w:w="675" w:type="dxa"/>
            <w:vAlign w:val="center"/>
          </w:tcPr>
          <w:p w14:paraId="243778AA" w14:textId="77777777" w:rsidR="00D1632E" w:rsidRPr="000F3962" w:rsidRDefault="00D1632E" w:rsidP="00CC159B">
            <w:pPr>
              <w:jc w:val="both"/>
              <w:rPr>
                <w:rFonts w:ascii="Times New Roman" w:hAnsi="Times New Roman" w:cs="Times New Roman"/>
                <w:b/>
                <w:sz w:val="20"/>
                <w:szCs w:val="20"/>
              </w:rPr>
            </w:pPr>
          </w:p>
        </w:tc>
        <w:tc>
          <w:tcPr>
            <w:tcW w:w="986" w:type="dxa"/>
            <w:vAlign w:val="center"/>
          </w:tcPr>
          <w:p w14:paraId="7F1CD890" w14:textId="77777777" w:rsidR="00D1632E" w:rsidRPr="000F3962" w:rsidRDefault="00D1632E" w:rsidP="00CC159B">
            <w:pPr>
              <w:jc w:val="both"/>
              <w:rPr>
                <w:rFonts w:ascii="Times New Roman" w:hAnsi="Times New Roman" w:cs="Times New Roman"/>
                <w:b/>
                <w:sz w:val="20"/>
                <w:szCs w:val="20"/>
              </w:rPr>
            </w:pPr>
          </w:p>
        </w:tc>
        <w:tc>
          <w:tcPr>
            <w:tcW w:w="1189" w:type="dxa"/>
            <w:vAlign w:val="center"/>
          </w:tcPr>
          <w:p w14:paraId="10ACFF1B" w14:textId="29AE62B4" w:rsidR="00D1632E" w:rsidRDefault="00D1632E" w:rsidP="00CC159B">
            <w:pPr>
              <w:jc w:val="both"/>
              <w:rPr>
                <w:rFonts w:ascii="Times New Roman" w:hAnsi="Times New Roman" w:cs="Times New Roman"/>
                <w:b/>
                <w:sz w:val="20"/>
                <w:szCs w:val="20"/>
              </w:rPr>
            </w:pPr>
            <w:r>
              <w:rPr>
                <w:rFonts w:ascii="Times New Roman" w:hAnsi="Times New Roman" w:cs="Times New Roman"/>
                <w:b/>
                <w:sz w:val="20"/>
                <w:szCs w:val="20"/>
              </w:rPr>
              <w:t>X</w:t>
            </w:r>
          </w:p>
        </w:tc>
        <w:tc>
          <w:tcPr>
            <w:tcW w:w="955" w:type="dxa"/>
            <w:vAlign w:val="center"/>
          </w:tcPr>
          <w:p w14:paraId="57C36CC6" w14:textId="77777777" w:rsidR="00D1632E" w:rsidRPr="000F3962" w:rsidRDefault="00D1632E" w:rsidP="00CC159B">
            <w:pPr>
              <w:jc w:val="both"/>
              <w:rPr>
                <w:rFonts w:ascii="Times New Roman" w:hAnsi="Times New Roman" w:cs="Times New Roman"/>
                <w:b/>
                <w:sz w:val="20"/>
                <w:szCs w:val="20"/>
              </w:rPr>
            </w:pPr>
          </w:p>
        </w:tc>
        <w:tc>
          <w:tcPr>
            <w:tcW w:w="1111" w:type="dxa"/>
            <w:vAlign w:val="center"/>
          </w:tcPr>
          <w:p w14:paraId="7F30CA15" w14:textId="77777777" w:rsidR="00D1632E" w:rsidRPr="000F3962" w:rsidRDefault="00D1632E" w:rsidP="00CC159B">
            <w:pPr>
              <w:jc w:val="both"/>
              <w:rPr>
                <w:rFonts w:ascii="Times New Roman" w:hAnsi="Times New Roman" w:cs="Times New Roman"/>
                <w:b/>
                <w:sz w:val="20"/>
                <w:szCs w:val="20"/>
              </w:rPr>
            </w:pPr>
          </w:p>
        </w:tc>
      </w:tr>
      <w:tr w:rsidR="000F7900" w:rsidRPr="000F3962" w14:paraId="1E9391D9" w14:textId="77777777" w:rsidTr="00FA6C8C">
        <w:trPr>
          <w:jc w:val="center"/>
        </w:trPr>
        <w:tc>
          <w:tcPr>
            <w:tcW w:w="511" w:type="dxa"/>
            <w:vAlign w:val="center"/>
          </w:tcPr>
          <w:p w14:paraId="045717BE" w14:textId="591CB603" w:rsidR="00F97AE4" w:rsidRPr="000F3962" w:rsidRDefault="00D1632E" w:rsidP="00CC159B">
            <w:pPr>
              <w:jc w:val="both"/>
              <w:rPr>
                <w:rFonts w:ascii="Times New Roman" w:hAnsi="Times New Roman" w:cs="Times New Roman"/>
                <w:sz w:val="20"/>
                <w:szCs w:val="20"/>
              </w:rPr>
            </w:pPr>
            <w:r>
              <w:rPr>
                <w:rFonts w:ascii="Times New Roman" w:hAnsi="Times New Roman" w:cs="Times New Roman"/>
                <w:sz w:val="20"/>
                <w:szCs w:val="20"/>
              </w:rPr>
              <w:t>8</w:t>
            </w:r>
          </w:p>
        </w:tc>
        <w:tc>
          <w:tcPr>
            <w:tcW w:w="3114" w:type="dxa"/>
            <w:vAlign w:val="center"/>
          </w:tcPr>
          <w:p w14:paraId="1C36887A"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de Libertad Religiosa, de Culto y Conciencia.</w:t>
            </w:r>
          </w:p>
        </w:tc>
        <w:tc>
          <w:tcPr>
            <w:tcW w:w="994" w:type="dxa"/>
            <w:vAlign w:val="center"/>
          </w:tcPr>
          <w:p w14:paraId="731E697D"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70C1D0F3"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5679F3E3" w14:textId="2A90D517" w:rsidR="00F97AE4" w:rsidRPr="000F3962" w:rsidRDefault="00F97AE4" w:rsidP="00CC159B">
            <w:pPr>
              <w:jc w:val="both"/>
              <w:rPr>
                <w:rFonts w:ascii="Times New Roman" w:hAnsi="Times New Roman" w:cs="Times New Roman"/>
                <w:b/>
                <w:sz w:val="20"/>
                <w:szCs w:val="20"/>
              </w:rPr>
            </w:pPr>
          </w:p>
        </w:tc>
        <w:tc>
          <w:tcPr>
            <w:tcW w:w="1189" w:type="dxa"/>
            <w:vAlign w:val="center"/>
          </w:tcPr>
          <w:p w14:paraId="1F8E1DD0" w14:textId="114B9A17"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c>
          <w:tcPr>
            <w:tcW w:w="955" w:type="dxa"/>
            <w:vAlign w:val="center"/>
          </w:tcPr>
          <w:p w14:paraId="2A1A7FF1"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55AB100C" w14:textId="77777777" w:rsidR="00F97AE4" w:rsidRPr="000F3962" w:rsidRDefault="00F97AE4" w:rsidP="00CC159B">
            <w:pPr>
              <w:jc w:val="both"/>
              <w:rPr>
                <w:rFonts w:ascii="Times New Roman" w:hAnsi="Times New Roman" w:cs="Times New Roman"/>
                <w:b/>
                <w:sz w:val="20"/>
                <w:szCs w:val="20"/>
              </w:rPr>
            </w:pPr>
          </w:p>
        </w:tc>
      </w:tr>
      <w:tr w:rsidR="00276711" w:rsidRPr="000F3962" w14:paraId="5F312DEE" w14:textId="77777777" w:rsidTr="00FA6C8C">
        <w:trPr>
          <w:jc w:val="center"/>
        </w:trPr>
        <w:tc>
          <w:tcPr>
            <w:tcW w:w="511" w:type="dxa"/>
            <w:vAlign w:val="center"/>
          </w:tcPr>
          <w:p w14:paraId="4AF78D73" w14:textId="613EE9F8" w:rsidR="00276711" w:rsidRPr="000F3962" w:rsidRDefault="00D1632E" w:rsidP="00CC159B">
            <w:pPr>
              <w:jc w:val="both"/>
              <w:rPr>
                <w:rFonts w:ascii="Times New Roman" w:hAnsi="Times New Roman" w:cs="Times New Roman"/>
                <w:sz w:val="20"/>
                <w:szCs w:val="20"/>
              </w:rPr>
            </w:pPr>
            <w:r>
              <w:rPr>
                <w:rFonts w:ascii="Times New Roman" w:hAnsi="Times New Roman" w:cs="Times New Roman"/>
                <w:sz w:val="20"/>
                <w:szCs w:val="20"/>
              </w:rPr>
              <w:t>9</w:t>
            </w:r>
          </w:p>
        </w:tc>
        <w:tc>
          <w:tcPr>
            <w:tcW w:w="3114" w:type="dxa"/>
            <w:vAlign w:val="center"/>
          </w:tcPr>
          <w:p w14:paraId="15FA4DF2" w14:textId="6198F981" w:rsidR="00276711" w:rsidRPr="000F3962" w:rsidRDefault="00276711" w:rsidP="00CC159B">
            <w:pPr>
              <w:jc w:val="both"/>
              <w:rPr>
                <w:rFonts w:ascii="Times New Roman" w:hAnsi="Times New Roman" w:cs="Times New Roman"/>
                <w:sz w:val="20"/>
                <w:szCs w:val="20"/>
              </w:rPr>
            </w:pPr>
            <w:r>
              <w:rPr>
                <w:rFonts w:ascii="Times New Roman" w:hAnsi="Times New Roman" w:cs="Times New Roman"/>
                <w:sz w:val="20"/>
                <w:szCs w:val="20"/>
              </w:rPr>
              <w:t>Política Pública de lucha contra la trata</w:t>
            </w:r>
          </w:p>
        </w:tc>
        <w:tc>
          <w:tcPr>
            <w:tcW w:w="994" w:type="dxa"/>
            <w:vAlign w:val="center"/>
          </w:tcPr>
          <w:p w14:paraId="3E8CF63C" w14:textId="77777777" w:rsidR="00276711" w:rsidRPr="000F3962" w:rsidRDefault="00276711" w:rsidP="00CC159B">
            <w:pPr>
              <w:jc w:val="both"/>
              <w:rPr>
                <w:rFonts w:ascii="Times New Roman" w:hAnsi="Times New Roman" w:cs="Times New Roman"/>
                <w:b/>
                <w:sz w:val="20"/>
                <w:szCs w:val="20"/>
              </w:rPr>
            </w:pPr>
          </w:p>
        </w:tc>
        <w:tc>
          <w:tcPr>
            <w:tcW w:w="675" w:type="dxa"/>
            <w:vAlign w:val="center"/>
          </w:tcPr>
          <w:p w14:paraId="40CF33EA" w14:textId="77777777" w:rsidR="00276711" w:rsidRPr="000F3962" w:rsidRDefault="00276711" w:rsidP="00CC159B">
            <w:pPr>
              <w:jc w:val="both"/>
              <w:rPr>
                <w:rFonts w:ascii="Times New Roman" w:hAnsi="Times New Roman" w:cs="Times New Roman"/>
                <w:b/>
                <w:sz w:val="20"/>
                <w:szCs w:val="20"/>
              </w:rPr>
            </w:pPr>
          </w:p>
        </w:tc>
        <w:tc>
          <w:tcPr>
            <w:tcW w:w="986" w:type="dxa"/>
            <w:vAlign w:val="center"/>
          </w:tcPr>
          <w:p w14:paraId="680762DC" w14:textId="77777777" w:rsidR="00276711" w:rsidRPr="000F3962" w:rsidRDefault="00276711" w:rsidP="00CC159B">
            <w:pPr>
              <w:jc w:val="both"/>
              <w:rPr>
                <w:rFonts w:ascii="Times New Roman" w:hAnsi="Times New Roman" w:cs="Times New Roman"/>
                <w:b/>
                <w:sz w:val="20"/>
                <w:szCs w:val="20"/>
              </w:rPr>
            </w:pPr>
          </w:p>
        </w:tc>
        <w:tc>
          <w:tcPr>
            <w:tcW w:w="1189" w:type="dxa"/>
            <w:vAlign w:val="center"/>
          </w:tcPr>
          <w:p w14:paraId="7E687D5E" w14:textId="77777777" w:rsidR="00276711" w:rsidRPr="000F3962" w:rsidRDefault="00276711" w:rsidP="00CC159B">
            <w:pPr>
              <w:jc w:val="both"/>
              <w:rPr>
                <w:rFonts w:ascii="Times New Roman" w:hAnsi="Times New Roman" w:cs="Times New Roman"/>
                <w:b/>
                <w:sz w:val="20"/>
                <w:szCs w:val="20"/>
              </w:rPr>
            </w:pPr>
          </w:p>
        </w:tc>
        <w:tc>
          <w:tcPr>
            <w:tcW w:w="955" w:type="dxa"/>
            <w:vAlign w:val="center"/>
          </w:tcPr>
          <w:p w14:paraId="099E6B20" w14:textId="77777777" w:rsidR="00276711" w:rsidRPr="000F3962" w:rsidRDefault="00276711" w:rsidP="00CC159B">
            <w:pPr>
              <w:jc w:val="both"/>
              <w:rPr>
                <w:rFonts w:ascii="Times New Roman" w:hAnsi="Times New Roman" w:cs="Times New Roman"/>
                <w:b/>
                <w:sz w:val="20"/>
                <w:szCs w:val="20"/>
              </w:rPr>
            </w:pPr>
          </w:p>
        </w:tc>
        <w:tc>
          <w:tcPr>
            <w:tcW w:w="1111" w:type="dxa"/>
            <w:vAlign w:val="center"/>
          </w:tcPr>
          <w:p w14:paraId="1D80545D" w14:textId="77777777" w:rsidR="00276711" w:rsidRPr="000F3962" w:rsidRDefault="00276711" w:rsidP="00CC159B">
            <w:pPr>
              <w:jc w:val="both"/>
              <w:rPr>
                <w:rFonts w:ascii="Times New Roman" w:hAnsi="Times New Roman" w:cs="Times New Roman"/>
                <w:b/>
                <w:sz w:val="20"/>
                <w:szCs w:val="20"/>
              </w:rPr>
            </w:pPr>
          </w:p>
        </w:tc>
      </w:tr>
      <w:tr w:rsidR="000F7900" w:rsidRPr="000F3962" w14:paraId="6F92EEDF" w14:textId="77777777" w:rsidTr="00FA6C8C">
        <w:trPr>
          <w:jc w:val="center"/>
        </w:trPr>
        <w:tc>
          <w:tcPr>
            <w:tcW w:w="511" w:type="dxa"/>
            <w:vAlign w:val="center"/>
          </w:tcPr>
          <w:p w14:paraId="1E4F047B" w14:textId="2A47AB90" w:rsidR="00F97AE4" w:rsidRPr="000F3962" w:rsidRDefault="00D1632E" w:rsidP="00CC159B">
            <w:pPr>
              <w:jc w:val="both"/>
              <w:rPr>
                <w:rFonts w:ascii="Times New Roman" w:hAnsi="Times New Roman" w:cs="Times New Roman"/>
                <w:sz w:val="20"/>
                <w:szCs w:val="20"/>
              </w:rPr>
            </w:pPr>
            <w:r>
              <w:rPr>
                <w:rFonts w:ascii="Times New Roman" w:hAnsi="Times New Roman" w:cs="Times New Roman"/>
                <w:sz w:val="20"/>
                <w:szCs w:val="20"/>
              </w:rPr>
              <w:t>10</w:t>
            </w:r>
          </w:p>
        </w:tc>
        <w:tc>
          <w:tcPr>
            <w:tcW w:w="3114" w:type="dxa"/>
            <w:vAlign w:val="center"/>
          </w:tcPr>
          <w:p w14:paraId="586BA392"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de Participación Incidente</w:t>
            </w:r>
          </w:p>
        </w:tc>
        <w:tc>
          <w:tcPr>
            <w:tcW w:w="994" w:type="dxa"/>
            <w:vAlign w:val="center"/>
          </w:tcPr>
          <w:p w14:paraId="346EFD6B"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20FCC27F"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1BBE46B3" w14:textId="77777777" w:rsidR="00F97AE4" w:rsidRPr="000F3962" w:rsidRDefault="00F97AE4" w:rsidP="00CC159B">
            <w:pPr>
              <w:jc w:val="both"/>
              <w:rPr>
                <w:rFonts w:ascii="Times New Roman" w:hAnsi="Times New Roman" w:cs="Times New Roman"/>
                <w:b/>
                <w:sz w:val="20"/>
                <w:szCs w:val="20"/>
              </w:rPr>
            </w:pPr>
          </w:p>
        </w:tc>
        <w:tc>
          <w:tcPr>
            <w:tcW w:w="1189" w:type="dxa"/>
            <w:vAlign w:val="center"/>
          </w:tcPr>
          <w:p w14:paraId="6DAAFC38" w14:textId="77777777" w:rsidR="00F97AE4" w:rsidRPr="000F3962" w:rsidRDefault="00F97AE4" w:rsidP="00CC159B">
            <w:pPr>
              <w:jc w:val="both"/>
              <w:rPr>
                <w:rFonts w:ascii="Times New Roman" w:hAnsi="Times New Roman" w:cs="Times New Roman"/>
                <w:b/>
                <w:sz w:val="20"/>
                <w:szCs w:val="20"/>
              </w:rPr>
            </w:pPr>
          </w:p>
        </w:tc>
        <w:tc>
          <w:tcPr>
            <w:tcW w:w="955" w:type="dxa"/>
            <w:vAlign w:val="center"/>
          </w:tcPr>
          <w:p w14:paraId="539ADD37"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77255DF8" w14:textId="77777777" w:rsidR="00F97AE4" w:rsidRPr="000F3962" w:rsidRDefault="00F97AE4" w:rsidP="00CC159B">
            <w:pPr>
              <w:jc w:val="both"/>
              <w:rPr>
                <w:rFonts w:ascii="Times New Roman" w:hAnsi="Times New Roman" w:cs="Times New Roman"/>
                <w:b/>
                <w:sz w:val="20"/>
                <w:szCs w:val="20"/>
              </w:rPr>
            </w:pPr>
            <w:r w:rsidRPr="000F3962">
              <w:rPr>
                <w:rFonts w:ascii="Times New Roman" w:hAnsi="Times New Roman" w:cs="Times New Roman"/>
                <w:b/>
                <w:sz w:val="20"/>
                <w:szCs w:val="20"/>
              </w:rPr>
              <w:t>X</w:t>
            </w:r>
          </w:p>
        </w:tc>
      </w:tr>
      <w:tr w:rsidR="000F7900" w:rsidRPr="000F3962" w14:paraId="5EC886A0" w14:textId="77777777" w:rsidTr="00FA6C8C">
        <w:trPr>
          <w:jc w:val="center"/>
        </w:trPr>
        <w:tc>
          <w:tcPr>
            <w:tcW w:w="511" w:type="dxa"/>
            <w:vAlign w:val="center"/>
          </w:tcPr>
          <w:p w14:paraId="197620A3" w14:textId="3E98DA73"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1</w:t>
            </w:r>
            <w:r w:rsidR="00D1632E">
              <w:rPr>
                <w:rFonts w:ascii="Times New Roman" w:hAnsi="Times New Roman" w:cs="Times New Roman"/>
                <w:sz w:val="20"/>
                <w:szCs w:val="20"/>
              </w:rPr>
              <w:t>1</w:t>
            </w:r>
          </w:p>
        </w:tc>
        <w:tc>
          <w:tcPr>
            <w:tcW w:w="3114" w:type="dxa"/>
            <w:vAlign w:val="center"/>
          </w:tcPr>
          <w:p w14:paraId="63CEDF2F"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Publica de Participación Ciudadana y Convivencia en Propiedad Horizontal</w:t>
            </w:r>
          </w:p>
        </w:tc>
        <w:tc>
          <w:tcPr>
            <w:tcW w:w="994" w:type="dxa"/>
            <w:vAlign w:val="center"/>
          </w:tcPr>
          <w:p w14:paraId="12550357" w14:textId="2996D311" w:rsidR="00F97AE4" w:rsidRPr="000F3962" w:rsidRDefault="00F97AE4" w:rsidP="00CC159B">
            <w:pPr>
              <w:jc w:val="both"/>
              <w:rPr>
                <w:rFonts w:ascii="Times New Roman" w:hAnsi="Times New Roman" w:cs="Times New Roman"/>
                <w:b/>
                <w:sz w:val="20"/>
                <w:szCs w:val="20"/>
              </w:rPr>
            </w:pPr>
          </w:p>
        </w:tc>
        <w:tc>
          <w:tcPr>
            <w:tcW w:w="675" w:type="dxa"/>
            <w:vAlign w:val="center"/>
          </w:tcPr>
          <w:p w14:paraId="626DDE58" w14:textId="1A2C06A6"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c>
          <w:tcPr>
            <w:tcW w:w="986" w:type="dxa"/>
            <w:vAlign w:val="center"/>
          </w:tcPr>
          <w:p w14:paraId="2BF7C996" w14:textId="77777777" w:rsidR="00F97AE4" w:rsidRPr="000F3962" w:rsidRDefault="00F97AE4" w:rsidP="00CC159B">
            <w:pPr>
              <w:jc w:val="both"/>
              <w:rPr>
                <w:rFonts w:ascii="Times New Roman" w:hAnsi="Times New Roman" w:cs="Times New Roman"/>
                <w:b/>
                <w:sz w:val="20"/>
                <w:szCs w:val="20"/>
              </w:rPr>
            </w:pPr>
          </w:p>
        </w:tc>
        <w:tc>
          <w:tcPr>
            <w:tcW w:w="1189" w:type="dxa"/>
            <w:vAlign w:val="center"/>
          </w:tcPr>
          <w:p w14:paraId="5BFD3D62" w14:textId="77777777" w:rsidR="00F97AE4" w:rsidRPr="000F3962" w:rsidRDefault="00F97AE4" w:rsidP="00CC159B">
            <w:pPr>
              <w:jc w:val="both"/>
              <w:rPr>
                <w:rFonts w:ascii="Times New Roman" w:hAnsi="Times New Roman" w:cs="Times New Roman"/>
                <w:b/>
                <w:sz w:val="20"/>
                <w:szCs w:val="20"/>
              </w:rPr>
            </w:pPr>
          </w:p>
        </w:tc>
        <w:tc>
          <w:tcPr>
            <w:tcW w:w="955" w:type="dxa"/>
            <w:vAlign w:val="center"/>
          </w:tcPr>
          <w:p w14:paraId="1D28B3CB"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3D862865" w14:textId="77777777" w:rsidR="00F97AE4" w:rsidRPr="000F3962" w:rsidRDefault="00F97AE4" w:rsidP="00CC159B">
            <w:pPr>
              <w:jc w:val="both"/>
              <w:rPr>
                <w:rFonts w:ascii="Times New Roman" w:hAnsi="Times New Roman" w:cs="Times New Roman"/>
                <w:b/>
                <w:sz w:val="20"/>
                <w:szCs w:val="20"/>
              </w:rPr>
            </w:pPr>
          </w:p>
        </w:tc>
      </w:tr>
      <w:tr w:rsidR="00276711" w:rsidRPr="000F3962" w14:paraId="3D1C27C3" w14:textId="77777777" w:rsidTr="00FA6C8C">
        <w:trPr>
          <w:jc w:val="center"/>
        </w:trPr>
        <w:tc>
          <w:tcPr>
            <w:tcW w:w="511" w:type="dxa"/>
            <w:vAlign w:val="center"/>
          </w:tcPr>
          <w:p w14:paraId="3A82B1AD" w14:textId="122DBE2D" w:rsidR="00276711" w:rsidRDefault="00276711" w:rsidP="00CC159B">
            <w:pPr>
              <w:jc w:val="both"/>
              <w:rPr>
                <w:rFonts w:ascii="Times New Roman" w:hAnsi="Times New Roman" w:cs="Times New Roman"/>
                <w:sz w:val="20"/>
                <w:szCs w:val="20"/>
              </w:rPr>
            </w:pPr>
            <w:r>
              <w:rPr>
                <w:rFonts w:ascii="Times New Roman" w:hAnsi="Times New Roman" w:cs="Times New Roman"/>
                <w:sz w:val="20"/>
                <w:szCs w:val="20"/>
              </w:rPr>
              <w:t>1</w:t>
            </w:r>
            <w:r w:rsidR="00D1632E">
              <w:rPr>
                <w:rFonts w:ascii="Times New Roman" w:hAnsi="Times New Roman" w:cs="Times New Roman"/>
                <w:sz w:val="20"/>
                <w:szCs w:val="20"/>
              </w:rPr>
              <w:t>2</w:t>
            </w:r>
          </w:p>
        </w:tc>
        <w:tc>
          <w:tcPr>
            <w:tcW w:w="3114" w:type="dxa"/>
            <w:vAlign w:val="center"/>
          </w:tcPr>
          <w:p w14:paraId="42E70048" w14:textId="14FA2307" w:rsidR="00276711" w:rsidRPr="000F3962" w:rsidRDefault="00276711" w:rsidP="00CC159B">
            <w:pPr>
              <w:jc w:val="both"/>
              <w:rPr>
                <w:rFonts w:ascii="Times New Roman" w:hAnsi="Times New Roman" w:cs="Times New Roman"/>
                <w:sz w:val="20"/>
                <w:szCs w:val="20"/>
              </w:rPr>
            </w:pPr>
            <w:r>
              <w:rPr>
                <w:rFonts w:ascii="Times New Roman" w:hAnsi="Times New Roman" w:cs="Times New Roman"/>
                <w:sz w:val="20"/>
                <w:szCs w:val="20"/>
              </w:rPr>
              <w:t>Política Pública de Comunicación Comunitaria</w:t>
            </w:r>
          </w:p>
        </w:tc>
        <w:tc>
          <w:tcPr>
            <w:tcW w:w="994" w:type="dxa"/>
            <w:vAlign w:val="center"/>
          </w:tcPr>
          <w:p w14:paraId="33029A1B" w14:textId="77777777" w:rsidR="00276711" w:rsidRPr="000F3962" w:rsidRDefault="00276711" w:rsidP="00CC159B">
            <w:pPr>
              <w:jc w:val="both"/>
              <w:rPr>
                <w:rFonts w:ascii="Times New Roman" w:hAnsi="Times New Roman" w:cs="Times New Roman"/>
                <w:b/>
                <w:sz w:val="20"/>
                <w:szCs w:val="20"/>
              </w:rPr>
            </w:pPr>
          </w:p>
        </w:tc>
        <w:tc>
          <w:tcPr>
            <w:tcW w:w="675" w:type="dxa"/>
            <w:vAlign w:val="center"/>
          </w:tcPr>
          <w:p w14:paraId="05DED062" w14:textId="77777777" w:rsidR="00276711" w:rsidRPr="000F3962" w:rsidRDefault="00276711" w:rsidP="00CC159B">
            <w:pPr>
              <w:jc w:val="both"/>
              <w:rPr>
                <w:rFonts w:ascii="Times New Roman" w:hAnsi="Times New Roman" w:cs="Times New Roman"/>
                <w:b/>
                <w:sz w:val="20"/>
                <w:szCs w:val="20"/>
              </w:rPr>
            </w:pPr>
          </w:p>
        </w:tc>
        <w:tc>
          <w:tcPr>
            <w:tcW w:w="986" w:type="dxa"/>
            <w:vAlign w:val="center"/>
          </w:tcPr>
          <w:p w14:paraId="4FECF985" w14:textId="77777777" w:rsidR="00276711" w:rsidRPr="000F3962" w:rsidRDefault="00276711" w:rsidP="00CC159B">
            <w:pPr>
              <w:jc w:val="both"/>
              <w:rPr>
                <w:rFonts w:ascii="Times New Roman" w:hAnsi="Times New Roman" w:cs="Times New Roman"/>
                <w:b/>
                <w:sz w:val="20"/>
                <w:szCs w:val="20"/>
              </w:rPr>
            </w:pPr>
          </w:p>
        </w:tc>
        <w:tc>
          <w:tcPr>
            <w:tcW w:w="1189" w:type="dxa"/>
            <w:vAlign w:val="center"/>
          </w:tcPr>
          <w:p w14:paraId="512D4CD1" w14:textId="77777777" w:rsidR="00276711" w:rsidRPr="000F3962" w:rsidRDefault="00276711" w:rsidP="00CC159B">
            <w:pPr>
              <w:jc w:val="both"/>
              <w:rPr>
                <w:rFonts w:ascii="Times New Roman" w:hAnsi="Times New Roman" w:cs="Times New Roman"/>
                <w:b/>
                <w:sz w:val="20"/>
                <w:szCs w:val="20"/>
              </w:rPr>
            </w:pPr>
          </w:p>
        </w:tc>
        <w:tc>
          <w:tcPr>
            <w:tcW w:w="955" w:type="dxa"/>
            <w:vAlign w:val="center"/>
          </w:tcPr>
          <w:p w14:paraId="51E8BE2C" w14:textId="77777777" w:rsidR="00276711" w:rsidRPr="000F3962" w:rsidRDefault="00276711" w:rsidP="00CC159B">
            <w:pPr>
              <w:jc w:val="both"/>
              <w:rPr>
                <w:rFonts w:ascii="Times New Roman" w:hAnsi="Times New Roman" w:cs="Times New Roman"/>
                <w:b/>
                <w:sz w:val="20"/>
                <w:szCs w:val="20"/>
              </w:rPr>
            </w:pPr>
          </w:p>
        </w:tc>
        <w:tc>
          <w:tcPr>
            <w:tcW w:w="1111" w:type="dxa"/>
            <w:vAlign w:val="center"/>
          </w:tcPr>
          <w:p w14:paraId="68D48C6D" w14:textId="3FD13A08" w:rsidR="00276711"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r>
      <w:tr w:rsidR="000F7900" w:rsidRPr="000F3962" w14:paraId="5732C8CC" w14:textId="77777777" w:rsidTr="00FA6C8C">
        <w:trPr>
          <w:jc w:val="center"/>
        </w:trPr>
        <w:tc>
          <w:tcPr>
            <w:tcW w:w="511" w:type="dxa"/>
            <w:vAlign w:val="center"/>
          </w:tcPr>
          <w:p w14:paraId="4DE1A375" w14:textId="744755AB" w:rsidR="00F97AE4" w:rsidRPr="000F3962" w:rsidRDefault="00FA6C8C" w:rsidP="00CC159B">
            <w:pPr>
              <w:jc w:val="both"/>
              <w:rPr>
                <w:rFonts w:ascii="Times New Roman" w:hAnsi="Times New Roman" w:cs="Times New Roman"/>
                <w:sz w:val="20"/>
                <w:szCs w:val="20"/>
              </w:rPr>
            </w:pPr>
            <w:r>
              <w:rPr>
                <w:rFonts w:ascii="Times New Roman" w:hAnsi="Times New Roman" w:cs="Times New Roman"/>
                <w:sz w:val="20"/>
                <w:szCs w:val="20"/>
              </w:rPr>
              <w:t>1</w:t>
            </w:r>
            <w:r w:rsidR="00D1632E">
              <w:rPr>
                <w:rFonts w:ascii="Times New Roman" w:hAnsi="Times New Roman" w:cs="Times New Roman"/>
                <w:sz w:val="20"/>
                <w:szCs w:val="20"/>
              </w:rPr>
              <w:t>3</w:t>
            </w:r>
          </w:p>
        </w:tc>
        <w:tc>
          <w:tcPr>
            <w:tcW w:w="3114" w:type="dxa"/>
            <w:vAlign w:val="center"/>
          </w:tcPr>
          <w:p w14:paraId="64489897" w14:textId="77777777" w:rsidR="00F97AE4" w:rsidRPr="000F3962" w:rsidRDefault="00F97AE4" w:rsidP="00CC159B">
            <w:pPr>
              <w:jc w:val="both"/>
              <w:rPr>
                <w:rFonts w:ascii="Times New Roman" w:hAnsi="Times New Roman" w:cs="Times New Roman"/>
                <w:sz w:val="20"/>
                <w:szCs w:val="20"/>
              </w:rPr>
            </w:pPr>
            <w:r w:rsidRPr="000F3962">
              <w:rPr>
                <w:rFonts w:ascii="Times New Roman" w:hAnsi="Times New Roman" w:cs="Times New Roman"/>
                <w:sz w:val="20"/>
                <w:szCs w:val="20"/>
              </w:rPr>
              <w:t>Política Pública Distrital de Espacio Público.</w:t>
            </w:r>
          </w:p>
        </w:tc>
        <w:tc>
          <w:tcPr>
            <w:tcW w:w="994" w:type="dxa"/>
            <w:vAlign w:val="center"/>
          </w:tcPr>
          <w:p w14:paraId="5012D7EF" w14:textId="77777777" w:rsidR="00F97AE4" w:rsidRPr="000F3962" w:rsidRDefault="00F97AE4" w:rsidP="00CC159B">
            <w:pPr>
              <w:jc w:val="both"/>
              <w:rPr>
                <w:rFonts w:ascii="Times New Roman" w:hAnsi="Times New Roman" w:cs="Times New Roman"/>
                <w:b/>
                <w:sz w:val="20"/>
                <w:szCs w:val="20"/>
              </w:rPr>
            </w:pPr>
          </w:p>
        </w:tc>
        <w:tc>
          <w:tcPr>
            <w:tcW w:w="675" w:type="dxa"/>
            <w:vAlign w:val="center"/>
          </w:tcPr>
          <w:p w14:paraId="7DF2C80F" w14:textId="77777777" w:rsidR="00F97AE4" w:rsidRPr="000F3962" w:rsidRDefault="00F97AE4" w:rsidP="00CC159B">
            <w:pPr>
              <w:jc w:val="both"/>
              <w:rPr>
                <w:rFonts w:ascii="Times New Roman" w:hAnsi="Times New Roman" w:cs="Times New Roman"/>
                <w:b/>
                <w:sz w:val="20"/>
                <w:szCs w:val="20"/>
              </w:rPr>
            </w:pPr>
          </w:p>
        </w:tc>
        <w:tc>
          <w:tcPr>
            <w:tcW w:w="986" w:type="dxa"/>
            <w:vAlign w:val="center"/>
          </w:tcPr>
          <w:p w14:paraId="65F1D84A" w14:textId="6F91168E" w:rsidR="00F97AE4" w:rsidRPr="000F3962" w:rsidRDefault="00F97AE4" w:rsidP="00CC159B">
            <w:pPr>
              <w:jc w:val="both"/>
              <w:rPr>
                <w:rFonts w:ascii="Times New Roman" w:hAnsi="Times New Roman" w:cs="Times New Roman"/>
                <w:b/>
                <w:sz w:val="20"/>
                <w:szCs w:val="20"/>
              </w:rPr>
            </w:pPr>
          </w:p>
        </w:tc>
        <w:tc>
          <w:tcPr>
            <w:tcW w:w="1189" w:type="dxa"/>
            <w:vAlign w:val="center"/>
          </w:tcPr>
          <w:p w14:paraId="0A037E01" w14:textId="2C1B2CEA" w:rsidR="00F97AE4" w:rsidRPr="000F3962" w:rsidRDefault="00276711" w:rsidP="00CC159B">
            <w:pPr>
              <w:jc w:val="both"/>
              <w:rPr>
                <w:rFonts w:ascii="Times New Roman" w:hAnsi="Times New Roman" w:cs="Times New Roman"/>
                <w:b/>
                <w:sz w:val="20"/>
                <w:szCs w:val="20"/>
              </w:rPr>
            </w:pPr>
            <w:r>
              <w:rPr>
                <w:rFonts w:ascii="Times New Roman" w:hAnsi="Times New Roman" w:cs="Times New Roman"/>
                <w:b/>
                <w:sz w:val="20"/>
                <w:szCs w:val="20"/>
              </w:rPr>
              <w:t>X</w:t>
            </w:r>
          </w:p>
        </w:tc>
        <w:tc>
          <w:tcPr>
            <w:tcW w:w="955" w:type="dxa"/>
            <w:vAlign w:val="center"/>
          </w:tcPr>
          <w:p w14:paraId="4305AE27" w14:textId="77777777" w:rsidR="00F97AE4" w:rsidRPr="000F3962" w:rsidRDefault="00F97AE4" w:rsidP="00CC159B">
            <w:pPr>
              <w:jc w:val="both"/>
              <w:rPr>
                <w:rFonts w:ascii="Times New Roman" w:hAnsi="Times New Roman" w:cs="Times New Roman"/>
                <w:b/>
                <w:sz w:val="20"/>
                <w:szCs w:val="20"/>
              </w:rPr>
            </w:pPr>
          </w:p>
        </w:tc>
        <w:tc>
          <w:tcPr>
            <w:tcW w:w="1111" w:type="dxa"/>
            <w:vAlign w:val="center"/>
          </w:tcPr>
          <w:p w14:paraId="4BF6D413" w14:textId="77777777" w:rsidR="00F97AE4" w:rsidRPr="000F3962" w:rsidRDefault="00F97AE4" w:rsidP="00CC159B">
            <w:pPr>
              <w:jc w:val="both"/>
              <w:rPr>
                <w:rFonts w:ascii="Times New Roman" w:hAnsi="Times New Roman" w:cs="Times New Roman"/>
                <w:b/>
                <w:sz w:val="20"/>
                <w:szCs w:val="20"/>
              </w:rPr>
            </w:pPr>
          </w:p>
        </w:tc>
      </w:tr>
    </w:tbl>
    <w:p w14:paraId="524E2987" w14:textId="45E3F11A" w:rsidR="00F97AE4" w:rsidRPr="005F5209" w:rsidRDefault="00F97AE4" w:rsidP="00CC159B">
      <w:pPr>
        <w:spacing w:after="0" w:line="240" w:lineRule="auto"/>
        <w:jc w:val="both"/>
        <w:rPr>
          <w:rFonts w:ascii="Times New Roman" w:hAnsi="Times New Roman" w:cs="Times New Roman"/>
        </w:rPr>
      </w:pPr>
      <w:r w:rsidRPr="005F5209">
        <w:rPr>
          <w:rFonts w:ascii="Times New Roman" w:hAnsi="Times New Roman" w:cs="Times New Roman"/>
        </w:rPr>
        <w:t>Fuente: Elaboración propia – OAP 20</w:t>
      </w:r>
      <w:r w:rsidR="00276711">
        <w:rPr>
          <w:rFonts w:ascii="Times New Roman" w:hAnsi="Times New Roman" w:cs="Times New Roman"/>
        </w:rPr>
        <w:t>20</w:t>
      </w:r>
      <w:r w:rsidRPr="005F5209">
        <w:rPr>
          <w:rFonts w:ascii="Times New Roman" w:hAnsi="Times New Roman" w:cs="Times New Roman"/>
        </w:rPr>
        <w:t>.</w:t>
      </w:r>
    </w:p>
    <w:p w14:paraId="1B9BFDB5" w14:textId="77777777" w:rsidR="00F97AE4" w:rsidRPr="00F4602D" w:rsidRDefault="00F97AE4" w:rsidP="00CC159B">
      <w:pPr>
        <w:spacing w:after="0" w:line="240" w:lineRule="auto"/>
        <w:jc w:val="both"/>
      </w:pPr>
    </w:p>
    <w:p w14:paraId="4A60BE2D" w14:textId="77777777" w:rsidR="00E95FDB" w:rsidRPr="00F97AE4" w:rsidRDefault="00E95FDB" w:rsidP="00CC159B">
      <w:pPr>
        <w:spacing w:after="0" w:line="240" w:lineRule="auto"/>
        <w:jc w:val="both"/>
      </w:pPr>
    </w:p>
    <w:sectPr w:rsidR="00E95FDB" w:rsidRPr="00F97AE4" w:rsidSect="0068124B">
      <w:headerReference w:type="default" r:id="rId12"/>
      <w:pgSz w:w="12240" w:h="15840"/>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E31C4" w14:textId="77777777" w:rsidR="005F23AD" w:rsidRDefault="005F23AD" w:rsidP="00CB117E">
      <w:pPr>
        <w:spacing w:after="0" w:line="240" w:lineRule="auto"/>
      </w:pPr>
      <w:r>
        <w:separator/>
      </w:r>
    </w:p>
  </w:endnote>
  <w:endnote w:type="continuationSeparator" w:id="0">
    <w:p w14:paraId="3D2730A5" w14:textId="77777777" w:rsidR="005F23AD" w:rsidRDefault="005F23AD" w:rsidP="00CB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9A4A5" w14:textId="77777777" w:rsidR="005F23AD" w:rsidRDefault="005F23AD" w:rsidP="00CB117E">
      <w:pPr>
        <w:spacing w:after="0" w:line="240" w:lineRule="auto"/>
      </w:pPr>
      <w:r>
        <w:separator/>
      </w:r>
    </w:p>
  </w:footnote>
  <w:footnote w:type="continuationSeparator" w:id="0">
    <w:p w14:paraId="608055B7" w14:textId="77777777" w:rsidR="005F23AD" w:rsidRDefault="005F23AD" w:rsidP="00CB117E">
      <w:pPr>
        <w:spacing w:after="0" w:line="240" w:lineRule="auto"/>
      </w:pPr>
      <w:r>
        <w:continuationSeparator/>
      </w:r>
    </w:p>
  </w:footnote>
  <w:footnote w:id="1">
    <w:p w14:paraId="3C4BAEEC" w14:textId="77777777" w:rsidR="00F97AE4" w:rsidRPr="00CB117E" w:rsidRDefault="00F97AE4" w:rsidP="00423E37">
      <w:pPr>
        <w:pStyle w:val="FootnoteText"/>
        <w:jc w:val="both"/>
        <w:rPr>
          <w:lang w:val="es-ES_tradnl"/>
        </w:rPr>
      </w:pPr>
      <w:r>
        <w:rPr>
          <w:rStyle w:val="FootnoteReference"/>
        </w:rPr>
        <w:footnoteRef/>
      </w:r>
      <w:r>
        <w:t xml:space="preserve"> </w:t>
      </w:r>
      <w:r w:rsidR="00423E37" w:rsidRPr="00423E37">
        <w:rPr>
          <w:rFonts w:ascii="Times New Roman" w:hAnsi="Times New Roman" w:cs="Times New Roman"/>
        </w:rPr>
        <w:t>Decreto 689 de 2011 “Por medio del cual se adopta la guía para la formulación, implementación y evaluación de Políticas Públicas Distritales”</w:t>
      </w:r>
      <w:r w:rsidR="000D5C8D">
        <w:rPr>
          <w:rFonts w:ascii="Times New Roman" w:hAnsi="Times New Roman" w:cs="Times New Roman"/>
        </w:rPr>
        <w:t>.</w:t>
      </w:r>
    </w:p>
  </w:footnote>
  <w:footnote w:id="2">
    <w:p w14:paraId="3E825CA4" w14:textId="77777777" w:rsidR="00F97AE4" w:rsidRPr="00CB117E" w:rsidRDefault="00F97AE4" w:rsidP="00B86DAA">
      <w:pPr>
        <w:pStyle w:val="FootnoteText"/>
        <w:jc w:val="both"/>
        <w:rPr>
          <w:lang w:val="es-ES_tradnl"/>
        </w:rPr>
      </w:pPr>
      <w:r>
        <w:rPr>
          <w:rStyle w:val="FootnoteReference"/>
        </w:rPr>
        <w:footnoteRef/>
      </w:r>
      <w:r>
        <w:t xml:space="preserve"> </w:t>
      </w:r>
      <w:r w:rsidR="00B86DAA" w:rsidRPr="00B86DAA">
        <w:rPr>
          <w:rFonts w:ascii="Times New Roman" w:hAnsi="Times New Roman" w:cs="Times New Roman"/>
        </w:rPr>
        <w:t>Decreto 171 de 2013 “Por medio del cual se estandarizan las definiciones y se unifica el plazo para la formulación o ajuste de los Planes de Acción de las Políticas Públicas Poblacionales y los Planes de Acción Integrales de Acciones Afirmativas de Bogotá D.C”</w:t>
      </w:r>
      <w:r w:rsidR="00766DB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AA37D" w14:textId="2EE33CB2" w:rsidR="006210CF" w:rsidRDefault="006210CF">
    <w:pPr>
      <w:pStyle w:val="Header"/>
    </w:pPr>
    <w:r>
      <w:rPr>
        <w:noProof/>
        <w:sz w:val="24"/>
        <w:szCs w:val="24"/>
        <w:lang w:eastAsia="es-CO"/>
      </w:rPr>
      <w:drawing>
        <wp:anchor distT="0" distB="0" distL="0" distR="0" simplePos="0" relativeHeight="251661312" behindDoc="1" locked="0" layoutInCell="1" allowOverlap="1" wp14:anchorId="5BB714AE" wp14:editId="27869FD1">
          <wp:simplePos x="0" y="0"/>
          <wp:positionH relativeFrom="margin">
            <wp:posOffset>2042795</wp:posOffset>
          </wp:positionH>
          <wp:positionV relativeFrom="paragraph">
            <wp:posOffset>-222250</wp:posOffset>
          </wp:positionV>
          <wp:extent cx="1527175" cy="88963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889635"/>
                  </a:xfrm>
                  <a:prstGeom prst="rect">
                    <a:avLst/>
                  </a:prstGeom>
                  <a:noFill/>
                </pic:spPr>
              </pic:pic>
            </a:graphicData>
          </a:graphic>
          <wp14:sizeRelH relativeFrom="page">
            <wp14:pctWidth>0</wp14:pctWidth>
          </wp14:sizeRelH>
          <wp14:sizeRelV relativeFrom="page">
            <wp14:pctHeight>0</wp14:pctHeight>
          </wp14:sizeRelV>
        </wp:anchor>
      </w:drawing>
    </w:r>
  </w:p>
  <w:p w14:paraId="440EB5B2" w14:textId="77777777" w:rsidR="006210CF" w:rsidRDefault="006210CF">
    <w:pPr>
      <w:pStyle w:val="Header"/>
    </w:pPr>
  </w:p>
  <w:p w14:paraId="0EB5B502" w14:textId="77777777" w:rsidR="006210CF" w:rsidRDefault="006210CF">
    <w:pPr>
      <w:pStyle w:val="Header"/>
    </w:pPr>
  </w:p>
  <w:p w14:paraId="31856EB1" w14:textId="1EC0684E" w:rsidR="006210CF" w:rsidRDefault="00621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375"/>
    <w:multiLevelType w:val="hybridMultilevel"/>
    <w:tmpl w:val="261EC88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9115E14"/>
    <w:multiLevelType w:val="hybridMultilevel"/>
    <w:tmpl w:val="D96A5A42"/>
    <w:lvl w:ilvl="0" w:tplc="2F6CC1F2">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CC51BA"/>
    <w:multiLevelType w:val="hybridMultilevel"/>
    <w:tmpl w:val="CBEE0E8A"/>
    <w:lvl w:ilvl="0" w:tplc="A26801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7808FF"/>
    <w:multiLevelType w:val="hybridMultilevel"/>
    <w:tmpl w:val="596E25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70"/>
    <w:rsid w:val="00015118"/>
    <w:rsid w:val="00017AF1"/>
    <w:rsid w:val="000214F2"/>
    <w:rsid w:val="0008332D"/>
    <w:rsid w:val="000B0F3B"/>
    <w:rsid w:val="000C4503"/>
    <w:rsid w:val="000C6BF6"/>
    <w:rsid w:val="000D5C8D"/>
    <w:rsid w:val="000E3299"/>
    <w:rsid w:val="000F1F61"/>
    <w:rsid w:val="000F3962"/>
    <w:rsid w:val="000F7900"/>
    <w:rsid w:val="00115CD3"/>
    <w:rsid w:val="001270F5"/>
    <w:rsid w:val="00132396"/>
    <w:rsid w:val="00135504"/>
    <w:rsid w:val="00135E3B"/>
    <w:rsid w:val="001361FC"/>
    <w:rsid w:val="00147012"/>
    <w:rsid w:val="00160A8A"/>
    <w:rsid w:val="00194288"/>
    <w:rsid w:val="001F0067"/>
    <w:rsid w:val="001F6EAD"/>
    <w:rsid w:val="0023134E"/>
    <w:rsid w:val="002350E5"/>
    <w:rsid w:val="002531E4"/>
    <w:rsid w:val="00276711"/>
    <w:rsid w:val="00281B02"/>
    <w:rsid w:val="002834BD"/>
    <w:rsid w:val="0028461C"/>
    <w:rsid w:val="002A12A2"/>
    <w:rsid w:val="002D4A82"/>
    <w:rsid w:val="002E76C0"/>
    <w:rsid w:val="002F53C8"/>
    <w:rsid w:val="002F65C5"/>
    <w:rsid w:val="002F6A03"/>
    <w:rsid w:val="00330DAE"/>
    <w:rsid w:val="003325A6"/>
    <w:rsid w:val="00342AF6"/>
    <w:rsid w:val="00346DBE"/>
    <w:rsid w:val="00351137"/>
    <w:rsid w:val="00357AF5"/>
    <w:rsid w:val="003752A8"/>
    <w:rsid w:val="003C6EAF"/>
    <w:rsid w:val="003D038D"/>
    <w:rsid w:val="003F0AB8"/>
    <w:rsid w:val="003F441B"/>
    <w:rsid w:val="003F71D8"/>
    <w:rsid w:val="00401751"/>
    <w:rsid w:val="00405C4A"/>
    <w:rsid w:val="00407DF7"/>
    <w:rsid w:val="00416C57"/>
    <w:rsid w:val="00420527"/>
    <w:rsid w:val="00423AAE"/>
    <w:rsid w:val="00423E37"/>
    <w:rsid w:val="00426889"/>
    <w:rsid w:val="00427C5E"/>
    <w:rsid w:val="00444277"/>
    <w:rsid w:val="004537F6"/>
    <w:rsid w:val="00461298"/>
    <w:rsid w:val="0046371D"/>
    <w:rsid w:val="0046400D"/>
    <w:rsid w:val="004F2B8A"/>
    <w:rsid w:val="0050775C"/>
    <w:rsid w:val="00517B73"/>
    <w:rsid w:val="005239C9"/>
    <w:rsid w:val="00530D10"/>
    <w:rsid w:val="0053334F"/>
    <w:rsid w:val="00537CB6"/>
    <w:rsid w:val="0055267E"/>
    <w:rsid w:val="005531FA"/>
    <w:rsid w:val="00557823"/>
    <w:rsid w:val="00564A0E"/>
    <w:rsid w:val="005A2C57"/>
    <w:rsid w:val="005C2C2F"/>
    <w:rsid w:val="005C4D96"/>
    <w:rsid w:val="005E59DC"/>
    <w:rsid w:val="005F23AD"/>
    <w:rsid w:val="005F5209"/>
    <w:rsid w:val="006210CF"/>
    <w:rsid w:val="006311DE"/>
    <w:rsid w:val="00650644"/>
    <w:rsid w:val="00651D36"/>
    <w:rsid w:val="0068124B"/>
    <w:rsid w:val="00683823"/>
    <w:rsid w:val="00696F7D"/>
    <w:rsid w:val="006A3A8D"/>
    <w:rsid w:val="006B2DB0"/>
    <w:rsid w:val="006B36A8"/>
    <w:rsid w:val="006B5EC2"/>
    <w:rsid w:val="006E6FF7"/>
    <w:rsid w:val="00710588"/>
    <w:rsid w:val="00717710"/>
    <w:rsid w:val="00741528"/>
    <w:rsid w:val="00745623"/>
    <w:rsid w:val="00764359"/>
    <w:rsid w:val="00766DB4"/>
    <w:rsid w:val="00773844"/>
    <w:rsid w:val="0078118B"/>
    <w:rsid w:val="0078503E"/>
    <w:rsid w:val="007850E3"/>
    <w:rsid w:val="00793995"/>
    <w:rsid w:val="00797654"/>
    <w:rsid w:val="007A16C7"/>
    <w:rsid w:val="007B339B"/>
    <w:rsid w:val="007C2452"/>
    <w:rsid w:val="007F139E"/>
    <w:rsid w:val="007F1589"/>
    <w:rsid w:val="007F6CE7"/>
    <w:rsid w:val="007F79F4"/>
    <w:rsid w:val="00835B3C"/>
    <w:rsid w:val="00873CC6"/>
    <w:rsid w:val="00885885"/>
    <w:rsid w:val="00891E0D"/>
    <w:rsid w:val="008960B4"/>
    <w:rsid w:val="008A7224"/>
    <w:rsid w:val="008B38D2"/>
    <w:rsid w:val="008C21D5"/>
    <w:rsid w:val="008D1447"/>
    <w:rsid w:val="00912257"/>
    <w:rsid w:val="009219F7"/>
    <w:rsid w:val="0093298E"/>
    <w:rsid w:val="009474B9"/>
    <w:rsid w:val="00956221"/>
    <w:rsid w:val="00993DDA"/>
    <w:rsid w:val="009B2652"/>
    <w:rsid w:val="009C3ACA"/>
    <w:rsid w:val="009D2E25"/>
    <w:rsid w:val="00A00938"/>
    <w:rsid w:val="00A012D7"/>
    <w:rsid w:val="00A026E3"/>
    <w:rsid w:val="00A028D4"/>
    <w:rsid w:val="00A047C9"/>
    <w:rsid w:val="00A12D92"/>
    <w:rsid w:val="00A13970"/>
    <w:rsid w:val="00A36AA5"/>
    <w:rsid w:val="00A5171B"/>
    <w:rsid w:val="00A93F26"/>
    <w:rsid w:val="00AB2C9D"/>
    <w:rsid w:val="00AC38EA"/>
    <w:rsid w:val="00AF7408"/>
    <w:rsid w:val="00B11FF1"/>
    <w:rsid w:val="00B557F2"/>
    <w:rsid w:val="00B661B8"/>
    <w:rsid w:val="00B83E84"/>
    <w:rsid w:val="00B846CD"/>
    <w:rsid w:val="00B86DAA"/>
    <w:rsid w:val="00BD1F68"/>
    <w:rsid w:val="00BE4038"/>
    <w:rsid w:val="00C06E23"/>
    <w:rsid w:val="00C1012D"/>
    <w:rsid w:val="00C1153D"/>
    <w:rsid w:val="00C21996"/>
    <w:rsid w:val="00C369F6"/>
    <w:rsid w:val="00C4277C"/>
    <w:rsid w:val="00C46416"/>
    <w:rsid w:val="00C50997"/>
    <w:rsid w:val="00C71AD1"/>
    <w:rsid w:val="00C84E09"/>
    <w:rsid w:val="00C87F7F"/>
    <w:rsid w:val="00C9293E"/>
    <w:rsid w:val="00CA2589"/>
    <w:rsid w:val="00CA4CCD"/>
    <w:rsid w:val="00CB117E"/>
    <w:rsid w:val="00CB3683"/>
    <w:rsid w:val="00CC159B"/>
    <w:rsid w:val="00CD23A3"/>
    <w:rsid w:val="00D01498"/>
    <w:rsid w:val="00D15006"/>
    <w:rsid w:val="00D1632E"/>
    <w:rsid w:val="00D16B9B"/>
    <w:rsid w:val="00D21BD2"/>
    <w:rsid w:val="00D24F4E"/>
    <w:rsid w:val="00D26C80"/>
    <w:rsid w:val="00D34A02"/>
    <w:rsid w:val="00D60EF9"/>
    <w:rsid w:val="00DB2E99"/>
    <w:rsid w:val="00DB3692"/>
    <w:rsid w:val="00DC05E7"/>
    <w:rsid w:val="00DD1752"/>
    <w:rsid w:val="00DD4AE9"/>
    <w:rsid w:val="00DE67E9"/>
    <w:rsid w:val="00E113BC"/>
    <w:rsid w:val="00E170D9"/>
    <w:rsid w:val="00E257F1"/>
    <w:rsid w:val="00E374B2"/>
    <w:rsid w:val="00E41353"/>
    <w:rsid w:val="00E50242"/>
    <w:rsid w:val="00E542E3"/>
    <w:rsid w:val="00E73A35"/>
    <w:rsid w:val="00E9440E"/>
    <w:rsid w:val="00E95FDB"/>
    <w:rsid w:val="00E974D3"/>
    <w:rsid w:val="00EA5699"/>
    <w:rsid w:val="00EC46AB"/>
    <w:rsid w:val="00F33518"/>
    <w:rsid w:val="00F50141"/>
    <w:rsid w:val="00F5547A"/>
    <w:rsid w:val="00F55531"/>
    <w:rsid w:val="00F6497A"/>
    <w:rsid w:val="00F91B01"/>
    <w:rsid w:val="00F92A17"/>
    <w:rsid w:val="00F97AE4"/>
    <w:rsid w:val="00FA6C8C"/>
    <w:rsid w:val="00FB609C"/>
    <w:rsid w:val="00FC061D"/>
    <w:rsid w:val="00FD6E60"/>
    <w:rsid w:val="00FD7EB9"/>
    <w:rsid w:val="00FE0D3C"/>
    <w:rsid w:val="00FE3406"/>
    <w:rsid w:val="00FF764A"/>
    <w:rsid w:val="00FF79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C778"/>
  <w15:docId w15:val="{96EE68FF-E598-470B-B5B9-BA852D81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11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17E"/>
    <w:rPr>
      <w:sz w:val="20"/>
      <w:szCs w:val="20"/>
    </w:rPr>
  </w:style>
  <w:style w:type="character" w:styleId="FootnoteReference">
    <w:name w:val="footnote reference"/>
    <w:basedOn w:val="DefaultParagraphFont"/>
    <w:uiPriority w:val="99"/>
    <w:semiHidden/>
    <w:unhideWhenUsed/>
    <w:rsid w:val="00CB117E"/>
    <w:rPr>
      <w:vertAlign w:val="superscript"/>
    </w:rPr>
  </w:style>
  <w:style w:type="character" w:styleId="CommentReference">
    <w:name w:val="annotation reference"/>
    <w:basedOn w:val="DefaultParagraphFont"/>
    <w:uiPriority w:val="99"/>
    <w:semiHidden/>
    <w:unhideWhenUsed/>
    <w:rsid w:val="009219F7"/>
    <w:rPr>
      <w:sz w:val="16"/>
      <w:szCs w:val="16"/>
    </w:rPr>
  </w:style>
  <w:style w:type="paragraph" w:styleId="CommentText">
    <w:name w:val="annotation text"/>
    <w:basedOn w:val="Normal"/>
    <w:link w:val="CommentTextChar"/>
    <w:uiPriority w:val="99"/>
    <w:semiHidden/>
    <w:unhideWhenUsed/>
    <w:rsid w:val="009219F7"/>
    <w:pPr>
      <w:spacing w:line="240" w:lineRule="auto"/>
    </w:pPr>
    <w:rPr>
      <w:sz w:val="20"/>
      <w:szCs w:val="20"/>
    </w:rPr>
  </w:style>
  <w:style w:type="character" w:customStyle="1" w:styleId="CommentTextChar">
    <w:name w:val="Comment Text Char"/>
    <w:basedOn w:val="DefaultParagraphFont"/>
    <w:link w:val="CommentText"/>
    <w:uiPriority w:val="99"/>
    <w:semiHidden/>
    <w:rsid w:val="009219F7"/>
    <w:rPr>
      <w:sz w:val="20"/>
      <w:szCs w:val="20"/>
    </w:rPr>
  </w:style>
  <w:style w:type="paragraph" w:styleId="CommentSubject">
    <w:name w:val="annotation subject"/>
    <w:basedOn w:val="CommentText"/>
    <w:next w:val="CommentText"/>
    <w:link w:val="CommentSubjectChar"/>
    <w:uiPriority w:val="99"/>
    <w:semiHidden/>
    <w:unhideWhenUsed/>
    <w:rsid w:val="009219F7"/>
    <w:rPr>
      <w:b/>
      <w:bCs/>
    </w:rPr>
  </w:style>
  <w:style w:type="character" w:customStyle="1" w:styleId="CommentSubjectChar">
    <w:name w:val="Comment Subject Char"/>
    <w:basedOn w:val="CommentTextChar"/>
    <w:link w:val="CommentSubject"/>
    <w:uiPriority w:val="99"/>
    <w:semiHidden/>
    <w:rsid w:val="009219F7"/>
    <w:rPr>
      <w:b/>
      <w:bCs/>
      <w:sz w:val="20"/>
      <w:szCs w:val="20"/>
    </w:rPr>
  </w:style>
  <w:style w:type="paragraph" w:styleId="BalloonText">
    <w:name w:val="Balloon Text"/>
    <w:basedOn w:val="Normal"/>
    <w:link w:val="BalloonTextChar"/>
    <w:uiPriority w:val="99"/>
    <w:semiHidden/>
    <w:unhideWhenUsed/>
    <w:rsid w:val="00921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F7"/>
    <w:rPr>
      <w:rFonts w:ascii="Segoe UI" w:hAnsi="Segoe UI" w:cs="Segoe UI"/>
      <w:sz w:val="18"/>
      <w:szCs w:val="18"/>
    </w:rPr>
  </w:style>
  <w:style w:type="paragraph" w:styleId="ListParagraph">
    <w:name w:val="List Paragraph"/>
    <w:basedOn w:val="Normal"/>
    <w:uiPriority w:val="34"/>
    <w:qFormat/>
    <w:rsid w:val="00D26C80"/>
    <w:pPr>
      <w:ind w:left="720"/>
      <w:contextualSpacing/>
    </w:pPr>
  </w:style>
  <w:style w:type="paragraph" w:styleId="Header">
    <w:name w:val="header"/>
    <w:basedOn w:val="Normal"/>
    <w:link w:val="HeaderChar"/>
    <w:uiPriority w:val="99"/>
    <w:unhideWhenUsed/>
    <w:rsid w:val="00357AF5"/>
    <w:pPr>
      <w:tabs>
        <w:tab w:val="center" w:pos="4419"/>
        <w:tab w:val="right" w:pos="8838"/>
      </w:tabs>
      <w:spacing w:after="0" w:line="240" w:lineRule="auto"/>
    </w:pPr>
  </w:style>
  <w:style w:type="character" w:customStyle="1" w:styleId="HeaderChar">
    <w:name w:val="Header Char"/>
    <w:basedOn w:val="DefaultParagraphFont"/>
    <w:link w:val="Header"/>
    <w:uiPriority w:val="99"/>
    <w:rsid w:val="00357AF5"/>
  </w:style>
  <w:style w:type="paragraph" w:styleId="Footer">
    <w:name w:val="footer"/>
    <w:basedOn w:val="Normal"/>
    <w:link w:val="FooterChar"/>
    <w:uiPriority w:val="99"/>
    <w:unhideWhenUsed/>
    <w:rsid w:val="00357AF5"/>
    <w:pPr>
      <w:tabs>
        <w:tab w:val="center" w:pos="4419"/>
        <w:tab w:val="right" w:pos="8838"/>
      </w:tabs>
      <w:spacing w:after="0" w:line="240" w:lineRule="auto"/>
    </w:pPr>
  </w:style>
  <w:style w:type="character" w:customStyle="1" w:styleId="FooterChar">
    <w:name w:val="Footer Char"/>
    <w:basedOn w:val="DefaultParagraphFont"/>
    <w:link w:val="Footer"/>
    <w:uiPriority w:val="99"/>
    <w:rsid w:val="00357AF5"/>
  </w:style>
  <w:style w:type="character" w:styleId="Hyperlink">
    <w:name w:val="Hyperlink"/>
    <w:basedOn w:val="DefaultParagraphFont"/>
    <w:uiPriority w:val="99"/>
    <w:unhideWhenUsed/>
    <w:rsid w:val="000C6BF6"/>
    <w:rPr>
      <w:color w:val="0563C1" w:themeColor="hyperlink"/>
      <w:u w:val="single"/>
    </w:rPr>
  </w:style>
  <w:style w:type="character" w:customStyle="1" w:styleId="UnresolvedMention1">
    <w:name w:val="Unresolved Mention1"/>
    <w:basedOn w:val="DefaultParagraphFont"/>
    <w:uiPriority w:val="99"/>
    <w:semiHidden/>
    <w:unhideWhenUsed/>
    <w:rsid w:val="000C6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9077">
      <w:bodyDiv w:val="1"/>
      <w:marLeft w:val="0"/>
      <w:marRight w:val="0"/>
      <w:marTop w:val="0"/>
      <w:marBottom w:val="0"/>
      <w:divBdr>
        <w:top w:val="none" w:sz="0" w:space="0" w:color="auto"/>
        <w:left w:val="none" w:sz="0" w:space="0" w:color="auto"/>
        <w:bottom w:val="none" w:sz="0" w:space="0" w:color="auto"/>
        <w:right w:val="none" w:sz="0" w:space="0" w:color="auto"/>
      </w:divBdr>
      <w:divsChild>
        <w:div w:id="1483813165">
          <w:marLeft w:val="0"/>
          <w:marRight w:val="0"/>
          <w:marTop w:val="0"/>
          <w:marBottom w:val="0"/>
          <w:divBdr>
            <w:top w:val="none" w:sz="0" w:space="0" w:color="auto"/>
            <w:left w:val="none" w:sz="0" w:space="0" w:color="auto"/>
            <w:bottom w:val="none" w:sz="0" w:space="0" w:color="auto"/>
            <w:right w:val="none" w:sz="0" w:space="0" w:color="auto"/>
          </w:divBdr>
        </w:div>
        <w:div w:id="265698776">
          <w:marLeft w:val="0"/>
          <w:marRight w:val="0"/>
          <w:marTop w:val="0"/>
          <w:marBottom w:val="0"/>
          <w:divBdr>
            <w:top w:val="none" w:sz="0" w:space="0" w:color="auto"/>
            <w:left w:val="none" w:sz="0" w:space="0" w:color="auto"/>
            <w:bottom w:val="none" w:sz="0" w:space="0" w:color="auto"/>
            <w:right w:val="none" w:sz="0" w:space="0" w:color="auto"/>
          </w:divBdr>
        </w:div>
        <w:div w:id="488907259">
          <w:marLeft w:val="0"/>
          <w:marRight w:val="0"/>
          <w:marTop w:val="0"/>
          <w:marBottom w:val="0"/>
          <w:divBdr>
            <w:top w:val="none" w:sz="0" w:space="0" w:color="auto"/>
            <w:left w:val="none" w:sz="0" w:space="0" w:color="auto"/>
            <w:bottom w:val="none" w:sz="0" w:space="0" w:color="auto"/>
            <w:right w:val="none" w:sz="0" w:space="0" w:color="auto"/>
          </w:divBdr>
        </w:div>
        <w:div w:id="1015575475">
          <w:marLeft w:val="0"/>
          <w:marRight w:val="0"/>
          <w:marTop w:val="0"/>
          <w:marBottom w:val="0"/>
          <w:divBdr>
            <w:top w:val="none" w:sz="0" w:space="0" w:color="auto"/>
            <w:left w:val="none" w:sz="0" w:space="0" w:color="auto"/>
            <w:bottom w:val="none" w:sz="0" w:space="0" w:color="auto"/>
            <w:right w:val="none" w:sz="0" w:space="0" w:color="auto"/>
          </w:divBdr>
        </w:div>
        <w:div w:id="1056585107">
          <w:marLeft w:val="0"/>
          <w:marRight w:val="0"/>
          <w:marTop w:val="0"/>
          <w:marBottom w:val="0"/>
          <w:divBdr>
            <w:top w:val="none" w:sz="0" w:space="0" w:color="auto"/>
            <w:left w:val="none" w:sz="0" w:space="0" w:color="auto"/>
            <w:bottom w:val="none" w:sz="0" w:space="0" w:color="auto"/>
            <w:right w:val="none" w:sz="0" w:space="0" w:color="auto"/>
          </w:divBdr>
        </w:div>
        <w:div w:id="1735852098">
          <w:marLeft w:val="0"/>
          <w:marRight w:val="0"/>
          <w:marTop w:val="0"/>
          <w:marBottom w:val="0"/>
          <w:divBdr>
            <w:top w:val="none" w:sz="0" w:space="0" w:color="auto"/>
            <w:left w:val="none" w:sz="0" w:space="0" w:color="auto"/>
            <w:bottom w:val="none" w:sz="0" w:space="0" w:color="auto"/>
            <w:right w:val="none" w:sz="0" w:space="0" w:color="auto"/>
          </w:divBdr>
        </w:div>
        <w:div w:id="2116360159">
          <w:marLeft w:val="0"/>
          <w:marRight w:val="0"/>
          <w:marTop w:val="0"/>
          <w:marBottom w:val="0"/>
          <w:divBdr>
            <w:top w:val="none" w:sz="0" w:space="0" w:color="auto"/>
            <w:left w:val="none" w:sz="0" w:space="0" w:color="auto"/>
            <w:bottom w:val="none" w:sz="0" w:space="0" w:color="auto"/>
            <w:right w:val="none" w:sz="0" w:space="0" w:color="auto"/>
          </w:divBdr>
        </w:div>
        <w:div w:id="1699961568">
          <w:marLeft w:val="0"/>
          <w:marRight w:val="0"/>
          <w:marTop w:val="0"/>
          <w:marBottom w:val="0"/>
          <w:divBdr>
            <w:top w:val="none" w:sz="0" w:space="0" w:color="auto"/>
            <w:left w:val="none" w:sz="0" w:space="0" w:color="auto"/>
            <w:bottom w:val="none" w:sz="0" w:space="0" w:color="auto"/>
            <w:right w:val="none" w:sz="0" w:space="0" w:color="auto"/>
          </w:divBdr>
        </w:div>
        <w:div w:id="1694843536">
          <w:marLeft w:val="0"/>
          <w:marRight w:val="0"/>
          <w:marTop w:val="0"/>
          <w:marBottom w:val="0"/>
          <w:divBdr>
            <w:top w:val="none" w:sz="0" w:space="0" w:color="auto"/>
            <w:left w:val="none" w:sz="0" w:space="0" w:color="auto"/>
            <w:bottom w:val="none" w:sz="0" w:space="0" w:color="auto"/>
            <w:right w:val="none" w:sz="0" w:space="0" w:color="auto"/>
          </w:divBdr>
        </w:div>
        <w:div w:id="965504104">
          <w:marLeft w:val="0"/>
          <w:marRight w:val="0"/>
          <w:marTop w:val="0"/>
          <w:marBottom w:val="0"/>
          <w:divBdr>
            <w:top w:val="none" w:sz="0" w:space="0" w:color="auto"/>
            <w:left w:val="none" w:sz="0" w:space="0" w:color="auto"/>
            <w:bottom w:val="none" w:sz="0" w:space="0" w:color="auto"/>
            <w:right w:val="none" w:sz="0" w:space="0" w:color="auto"/>
          </w:divBdr>
        </w:div>
        <w:div w:id="197863850">
          <w:marLeft w:val="0"/>
          <w:marRight w:val="0"/>
          <w:marTop w:val="0"/>
          <w:marBottom w:val="0"/>
          <w:divBdr>
            <w:top w:val="none" w:sz="0" w:space="0" w:color="auto"/>
            <w:left w:val="none" w:sz="0" w:space="0" w:color="auto"/>
            <w:bottom w:val="none" w:sz="0" w:space="0" w:color="auto"/>
            <w:right w:val="none" w:sz="0" w:space="0" w:color="auto"/>
          </w:divBdr>
        </w:div>
        <w:div w:id="205037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denuncias@gobiernobogota.gov.co" TargetMode="Externa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16A93-8EE9-418F-8266-AEC99D46C93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D03CF0A-D99E-454E-BF24-8E78EF610FC4}">
  <ds:schemaRefs>
    <ds:schemaRef ds:uri="http://schemas.microsoft.com/office/2006/metadata/contentType"/>
    <ds:schemaRef ds:uri="http://schemas.microsoft.com/office/2006/metadata/properties/metaAttributes"/>
    <ds:schemaRef ds:uri="http://www.w3.org/2000/xmlns/"/>
    <ds:schemaRef ds:uri="http://www.w3.org/2001/XMLSchema"/>
    <ds:schemaRef ds:uri="4d1d2e24-7be0-47eb-a1db-99cc6d75caff"/>
    <ds:schemaRef ds:uri="d6eaa91c-3afb-4015-aba1-5ff992c1a5ca"/>
  </ds:schemaRefs>
</ds:datastoreItem>
</file>

<file path=customXml/itemProps3.xml><?xml version="1.0" encoding="utf-8"?>
<ds:datastoreItem xmlns:ds="http://schemas.openxmlformats.org/officeDocument/2006/customXml" ds:itemID="{5B11CE80-8FE3-4140-B7CC-575BA044D1DB}">
  <ds:schemaRefs>
    <ds:schemaRef ds:uri="http://schemas.microsoft.com/office/2006/metadata/properties"/>
    <ds:schemaRef ds:uri="http://www.w3.org/2000/xmlns/"/>
    <ds:schemaRef ds:uri="4d1d2e24-7be0-47eb-a1db-99cc6d75caff"/>
    <ds:schemaRef ds:uri="http://www.w3.org/2001/XMLSchema-instance"/>
  </ds:schemaRefs>
</ds:datastoreItem>
</file>

<file path=customXml/itemProps4.xml><?xml version="1.0" encoding="utf-8"?>
<ds:datastoreItem xmlns:ds="http://schemas.openxmlformats.org/officeDocument/2006/customXml" ds:itemID="{F66257F1-DB5E-45AB-A439-96D702CCA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3744</Words>
  <Characters>21341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Lorena Calderon Martinez</dc:creator>
  <cp:lastModifiedBy>EDWIN RENDON</cp:lastModifiedBy>
  <cp:revision>2</cp:revision>
  <dcterms:created xsi:type="dcterms:W3CDTF">2020-08-27T01:28:00Z</dcterms:created>
  <dcterms:modified xsi:type="dcterms:W3CDTF">2020-08-27T01:28:00Z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