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2D1" w:rsidRDefault="004862D1" w:rsidP="004862D1">
      <w:pPr>
        <w:pStyle w:val="Ttulo2"/>
        <w:tabs>
          <w:tab w:val="left" w:pos="962"/>
        </w:tabs>
        <w:spacing w:before="143"/>
        <w:ind w:left="0" w:firstLine="0"/>
        <w:rPr>
          <w:rFonts w:ascii="Garamond" w:eastAsia="Garamond" w:hAnsi="Garamond" w:cs="Garamond"/>
          <w:color w:val="0070C0"/>
        </w:rPr>
      </w:pPr>
      <w:bookmarkStart w:id="0" w:name="_Toc28963712"/>
      <w:r w:rsidRPr="00583B41">
        <w:rPr>
          <w:rFonts w:ascii="Garamond" w:hAnsi="Garamond"/>
          <w:noProof/>
        </w:rPr>
        <w:drawing>
          <wp:anchor distT="0" distB="0" distL="114300" distR="114300" simplePos="0" relativeHeight="251659264" behindDoc="1" locked="0" layoutInCell="1" allowOverlap="1" wp14:anchorId="44BE980B" wp14:editId="5EDBB057">
            <wp:simplePos x="0" y="0"/>
            <wp:positionH relativeFrom="page">
              <wp:align>right</wp:align>
            </wp:positionH>
            <wp:positionV relativeFrom="paragraph">
              <wp:posOffset>-895350</wp:posOffset>
            </wp:positionV>
            <wp:extent cx="7762875" cy="100461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62875" cy="1004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b/>
          <w:bCs/>
          <w:color w:val="0070C0"/>
          <w:sz w:val="32"/>
          <w:szCs w:val="32"/>
        </w:rPr>
        <w:lastRenderedPageBreak/>
        <w:t>SECRETARÍA DISTRITAL DE GOBIERNO</w:t>
      </w: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b/>
          <w:bCs/>
          <w:color w:val="0070C0"/>
          <w:sz w:val="32"/>
          <w:szCs w:val="32"/>
        </w:rPr>
        <w:t>SUBSECRETARÍA DE GESTIÓN INSTICUIONAL</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ind w:firstLine="705"/>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b/>
          <w:bCs/>
          <w:color w:val="0070C0"/>
          <w:sz w:val="32"/>
          <w:szCs w:val="32"/>
        </w:rPr>
        <w:t xml:space="preserve">INFORME </w:t>
      </w:r>
      <w:r>
        <w:rPr>
          <w:rStyle w:val="normaltextrun"/>
          <w:rFonts w:ascii="Garamond" w:hAnsi="Garamond" w:cs="Segoe UI"/>
          <w:b/>
          <w:bCs/>
          <w:color w:val="0070C0"/>
          <w:sz w:val="32"/>
          <w:szCs w:val="32"/>
        </w:rPr>
        <w:t>DE GESTIÓN FISCAL DE LA ENTIDAD</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32"/>
          <w:szCs w:val="32"/>
        </w:rPr>
        <w:t> </w:t>
      </w:r>
    </w:p>
    <w:p w:rsidR="004862D1" w:rsidRDefault="004862D1" w:rsidP="004862D1">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b/>
          <w:bCs/>
          <w:color w:val="0070C0"/>
          <w:sz w:val="32"/>
          <w:szCs w:val="32"/>
        </w:rPr>
        <w:t>BOGOTÁ, DICIEMBRE DE 2019</w:t>
      </w:r>
      <w:r>
        <w:rPr>
          <w:rStyle w:val="eop"/>
          <w:rFonts w:ascii="Garamond" w:hAnsi="Garamond" w:cs="Segoe UI"/>
          <w:sz w:val="32"/>
          <w:szCs w:val="32"/>
        </w:rPr>
        <w:t> </w:t>
      </w: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Default="004862D1" w:rsidP="004862D1">
      <w:pPr>
        <w:pStyle w:val="Ttulo2"/>
        <w:tabs>
          <w:tab w:val="left" w:pos="962"/>
        </w:tabs>
        <w:spacing w:before="143"/>
        <w:ind w:left="0" w:firstLine="0"/>
        <w:rPr>
          <w:rFonts w:ascii="Garamond" w:eastAsia="Garamond" w:hAnsi="Garamond" w:cs="Garamond"/>
          <w:color w:val="0070C0"/>
        </w:rPr>
      </w:pPr>
    </w:p>
    <w:p w:rsidR="004862D1" w:rsidRPr="006B3B06" w:rsidRDefault="004862D1" w:rsidP="004862D1">
      <w:pPr>
        <w:pStyle w:val="Ttulo2"/>
        <w:tabs>
          <w:tab w:val="left" w:pos="962"/>
        </w:tabs>
        <w:spacing w:before="143"/>
        <w:ind w:left="0" w:firstLine="0"/>
        <w:rPr>
          <w:rFonts w:ascii="Garamond" w:hAnsi="Garamond"/>
          <w:color w:val="0070C0"/>
        </w:rPr>
      </w:pPr>
      <w:r w:rsidRPr="006B3B06">
        <w:rPr>
          <w:rFonts w:ascii="Garamond" w:eastAsia="Garamond" w:hAnsi="Garamond" w:cs="Garamond"/>
          <w:color w:val="0070C0"/>
        </w:rPr>
        <w:lastRenderedPageBreak/>
        <w:t>3. Resultados de la Gestión Fiscal de la</w:t>
      </w:r>
      <w:r w:rsidRPr="006B3B06">
        <w:rPr>
          <w:rFonts w:ascii="Garamond" w:eastAsia="Garamond" w:hAnsi="Garamond" w:cs="Garamond"/>
          <w:color w:val="0070C0"/>
          <w:spacing w:val="-3"/>
        </w:rPr>
        <w:t xml:space="preserve"> </w:t>
      </w:r>
      <w:r w:rsidRPr="006B3B06">
        <w:rPr>
          <w:rFonts w:ascii="Garamond" w:eastAsia="Garamond" w:hAnsi="Garamond" w:cs="Garamond"/>
          <w:color w:val="0070C0"/>
        </w:rPr>
        <w:t>Entidad</w:t>
      </w:r>
      <w:bookmarkEnd w:id="0"/>
    </w:p>
    <w:p w:rsidR="004862D1" w:rsidRPr="006B3B06" w:rsidRDefault="004862D1" w:rsidP="004862D1">
      <w:pPr>
        <w:tabs>
          <w:tab w:val="left" w:pos="962"/>
        </w:tabs>
        <w:rPr>
          <w:rFonts w:ascii="Garamond" w:eastAsia="Garamond" w:hAnsi="Garamond" w:cs="Garamond"/>
        </w:rPr>
      </w:pPr>
    </w:p>
    <w:p w:rsidR="004862D1" w:rsidRPr="006B3B06" w:rsidRDefault="004862D1" w:rsidP="004862D1">
      <w:pPr>
        <w:jc w:val="both"/>
        <w:rPr>
          <w:rFonts w:ascii="Garamond" w:eastAsia="Garamond" w:hAnsi="Garamond" w:cs="Garamond"/>
        </w:rPr>
      </w:pPr>
      <w:r w:rsidRPr="006B3B06">
        <w:rPr>
          <w:rFonts w:ascii="Garamond" w:eastAsia="Garamond" w:hAnsi="Garamond" w:cs="Garamond"/>
        </w:rPr>
        <w:t>En esta sección se incluyen los resultados del informe final de la Auditoría de Regularidad PAD 2019 código 12, radicado en la Entidad el 18 de junio de 2019, mediante radicado 20194210674972, así como los resultados de la Auditoría de Desempeño código 18 desarrollada por la Contraloría de Bogotá, D.C. del mes de agosto al mes de noviembre. En este orden de ideas, se indica que está pendiente la entrega del informe final de la auditoría indicada por parte de la Contraloría de Bogotá.</w:t>
      </w:r>
    </w:p>
    <w:p w:rsidR="004862D1" w:rsidRPr="006B3B06" w:rsidRDefault="004862D1" w:rsidP="004862D1">
      <w:pPr>
        <w:tabs>
          <w:tab w:val="left" w:pos="962"/>
        </w:tabs>
        <w:rPr>
          <w:rFonts w:ascii="Garamond" w:eastAsia="Garamond" w:hAnsi="Garamond" w:cs="Garamond"/>
        </w:rPr>
      </w:pPr>
    </w:p>
    <w:p w:rsidR="004862D1" w:rsidRPr="006B3B06" w:rsidRDefault="004862D1" w:rsidP="004862D1">
      <w:pPr>
        <w:pStyle w:val="Ttulo3"/>
        <w:rPr>
          <w:rFonts w:ascii="Garamond" w:hAnsi="Garamond"/>
          <w:b/>
          <w:color w:val="0070C0"/>
        </w:rPr>
      </w:pPr>
      <w:bookmarkStart w:id="1" w:name="_Toc28963713"/>
      <w:r w:rsidRPr="006B3B06">
        <w:rPr>
          <w:rFonts w:ascii="Garamond" w:eastAsia="Garamond" w:hAnsi="Garamond"/>
          <w:b/>
          <w:color w:val="0070C0"/>
        </w:rPr>
        <w:t>3.1 Auditoría de</w:t>
      </w:r>
      <w:r w:rsidRPr="006B3B06">
        <w:rPr>
          <w:rFonts w:ascii="Garamond" w:eastAsia="Garamond" w:hAnsi="Garamond"/>
          <w:b/>
          <w:color w:val="0070C0"/>
          <w:spacing w:val="-1"/>
        </w:rPr>
        <w:t xml:space="preserve"> </w:t>
      </w:r>
      <w:r w:rsidRPr="006B3B06">
        <w:rPr>
          <w:rFonts w:ascii="Garamond" w:eastAsia="Garamond" w:hAnsi="Garamond"/>
          <w:b/>
          <w:color w:val="0070C0"/>
        </w:rPr>
        <w:t>Regularidad</w:t>
      </w:r>
      <w:bookmarkEnd w:id="1"/>
    </w:p>
    <w:p w:rsidR="004862D1" w:rsidRPr="006B3B06" w:rsidRDefault="004862D1" w:rsidP="004862D1">
      <w:pPr>
        <w:jc w:val="both"/>
        <w:rPr>
          <w:rFonts w:ascii="Garamond" w:eastAsia="Garamond" w:hAnsi="Garamond" w:cs="Garamond"/>
        </w:rPr>
      </w:pPr>
    </w:p>
    <w:p w:rsidR="004862D1" w:rsidRPr="006B3B06" w:rsidRDefault="004862D1" w:rsidP="004862D1">
      <w:pPr>
        <w:jc w:val="both"/>
        <w:rPr>
          <w:rFonts w:ascii="Garamond" w:eastAsia="Garamond" w:hAnsi="Garamond" w:cs="Garamond"/>
        </w:rPr>
      </w:pPr>
      <w:r w:rsidRPr="006B3B06">
        <w:rPr>
          <w:rFonts w:ascii="Garamond" w:eastAsia="Garamond" w:hAnsi="Garamond" w:cs="Garamond"/>
        </w:rPr>
        <w:t>La Auditoría de Regularidad PAD 2019 código 18, cuyo informe final fue radicado en la Entidad el 18 de junio, evaluó la gestión fiscal de la vigencia 2018 y arrojó como resultados un total de 25 hallazgos, tres (3) de estas con incidencia disciplinaria y una (1) con incidencia fiscal. La comparación de estos resultados con las vigencias anteriores se evidencia en el siguiente cuadro:</w:t>
      </w:r>
    </w:p>
    <w:p w:rsidR="004862D1" w:rsidRPr="006B3B06" w:rsidRDefault="004862D1" w:rsidP="004862D1">
      <w:pPr>
        <w:jc w:val="both"/>
        <w:rPr>
          <w:rFonts w:ascii="Garamond" w:eastAsia="Garamond" w:hAnsi="Garamond" w:cs="Garamond"/>
          <w:i/>
          <w:iCs/>
        </w:rPr>
      </w:pPr>
    </w:p>
    <w:p w:rsidR="004862D1" w:rsidRPr="006B3B06" w:rsidRDefault="004862D1" w:rsidP="004862D1">
      <w:pPr>
        <w:jc w:val="center"/>
        <w:rPr>
          <w:rFonts w:ascii="Garamond" w:eastAsia="Garamond" w:hAnsi="Garamond" w:cs="Garamond"/>
          <w:i/>
          <w:iCs/>
          <w:sz w:val="18"/>
          <w:szCs w:val="18"/>
          <w:lang w:val="es-CO"/>
        </w:rPr>
      </w:pPr>
      <w:bookmarkStart w:id="2" w:name="_Toc528274455"/>
      <w:bookmarkStart w:id="3" w:name="_Toc11429186"/>
      <w:bookmarkStart w:id="4" w:name="_Toc11429303"/>
      <w:bookmarkStart w:id="5" w:name="_Toc11429356"/>
      <w:bookmarkStart w:id="6" w:name="_Toc11837851"/>
      <w:bookmarkStart w:id="7" w:name="_Toc28963749"/>
      <w:r w:rsidRPr="006B3B06">
        <w:rPr>
          <w:rFonts w:ascii="Garamond" w:eastAsia="Garamond" w:hAnsi="Garamond" w:cs="Garamond"/>
          <w:i/>
          <w:iCs/>
          <w:sz w:val="18"/>
          <w:szCs w:val="18"/>
          <w:lang w:val="es-CO"/>
        </w:rPr>
        <w:t xml:space="preserve">Tabla </w:t>
      </w:r>
      <w:r w:rsidRPr="006B3B06">
        <w:rPr>
          <w:rFonts w:ascii="Garamond" w:hAnsi="Garamond"/>
        </w:rPr>
        <w:fldChar w:fldCharType="begin"/>
      </w:r>
      <w:r w:rsidRPr="006B3B06">
        <w:rPr>
          <w:rFonts w:ascii="Garamond" w:hAnsi="Garamond"/>
          <w:i/>
          <w:iCs/>
          <w:sz w:val="18"/>
          <w:lang w:val="es-CO"/>
        </w:rPr>
        <w:instrText xml:space="preserve"> SEQ Tabla \* ARABIC </w:instrText>
      </w:r>
      <w:r w:rsidRPr="006B3B06">
        <w:rPr>
          <w:rFonts w:ascii="Garamond" w:hAnsi="Garamond"/>
          <w:i/>
          <w:color w:val="2B579A"/>
          <w:sz w:val="18"/>
          <w:shd w:val="clear" w:color="auto" w:fill="E6E6E6"/>
          <w:lang w:val="es-CO"/>
        </w:rPr>
        <w:fldChar w:fldCharType="separate"/>
      </w:r>
      <w:r>
        <w:rPr>
          <w:rFonts w:ascii="Garamond" w:hAnsi="Garamond"/>
          <w:i/>
          <w:iCs/>
          <w:noProof/>
          <w:sz w:val="18"/>
          <w:lang w:val="es-CO"/>
        </w:rPr>
        <w:t>33</w:t>
      </w:r>
      <w:r w:rsidRPr="006B3B06">
        <w:rPr>
          <w:rFonts w:ascii="Garamond" w:hAnsi="Garamond"/>
        </w:rPr>
        <w:fldChar w:fldCharType="end"/>
      </w:r>
      <w:r w:rsidRPr="006B3B06">
        <w:rPr>
          <w:rFonts w:ascii="Garamond" w:eastAsia="Garamond" w:hAnsi="Garamond" w:cs="Garamond"/>
          <w:i/>
          <w:iCs/>
          <w:sz w:val="18"/>
          <w:szCs w:val="18"/>
          <w:lang w:val="es-CO"/>
        </w:rPr>
        <w:t>. Comparación número de hallazgos Auditorías de Regularidad 2016 - 2019</w:t>
      </w:r>
      <w:bookmarkEnd w:id="2"/>
      <w:bookmarkEnd w:id="3"/>
      <w:bookmarkEnd w:id="4"/>
      <w:bookmarkEnd w:id="5"/>
      <w:bookmarkEnd w:id="6"/>
      <w:bookmarkEnd w:id="7"/>
    </w:p>
    <w:tbl>
      <w:tblPr>
        <w:tblStyle w:val="Tablaconcuadrcula1clara-nfasis1"/>
        <w:tblW w:w="4293" w:type="pct"/>
        <w:jc w:val="center"/>
        <w:tblLook w:val="0460" w:firstRow="1" w:lastRow="1" w:firstColumn="0" w:lastColumn="0" w:noHBand="0" w:noVBand="1"/>
      </w:tblPr>
      <w:tblGrid>
        <w:gridCol w:w="2695"/>
        <w:gridCol w:w="1223"/>
        <w:gridCol w:w="1223"/>
        <w:gridCol w:w="1222"/>
        <w:gridCol w:w="1217"/>
      </w:tblGrid>
      <w:tr w:rsidR="004862D1" w:rsidRPr="006B3B06" w:rsidTr="007B1FC8">
        <w:trPr>
          <w:cnfStyle w:val="100000000000" w:firstRow="1" w:lastRow="0" w:firstColumn="0" w:lastColumn="0" w:oddVBand="0" w:evenVBand="0" w:oddHBand="0" w:evenHBand="0" w:firstRowFirstColumn="0" w:firstRowLastColumn="0" w:lastRowFirstColumn="0" w:lastRowLastColumn="0"/>
          <w:trHeight w:val="369"/>
          <w:tblHeader/>
          <w:jc w:val="center"/>
        </w:trPr>
        <w:tc>
          <w:tcPr>
            <w:tcW w:w="1777" w:type="pct"/>
            <w:vAlign w:val="center"/>
            <w:hideMark/>
          </w:tcPr>
          <w:p w:rsidR="004862D1" w:rsidRPr="006B3B06" w:rsidRDefault="004862D1" w:rsidP="007B1FC8">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Componente</w:t>
            </w:r>
          </w:p>
        </w:tc>
        <w:tc>
          <w:tcPr>
            <w:tcW w:w="807" w:type="pct"/>
            <w:vAlign w:val="center"/>
            <w:hideMark/>
          </w:tcPr>
          <w:p w:rsidR="004862D1" w:rsidRPr="006B3B06" w:rsidRDefault="004862D1" w:rsidP="007B1FC8">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PAD 2016</w:t>
            </w:r>
          </w:p>
        </w:tc>
        <w:tc>
          <w:tcPr>
            <w:tcW w:w="807" w:type="pct"/>
            <w:vAlign w:val="center"/>
            <w:hideMark/>
          </w:tcPr>
          <w:p w:rsidR="004862D1" w:rsidRPr="006B3B06" w:rsidRDefault="004862D1" w:rsidP="007B1FC8">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PAD 2017</w:t>
            </w:r>
          </w:p>
        </w:tc>
        <w:tc>
          <w:tcPr>
            <w:tcW w:w="806" w:type="pct"/>
            <w:vAlign w:val="center"/>
            <w:hideMark/>
          </w:tcPr>
          <w:p w:rsidR="004862D1" w:rsidRPr="006B3B06" w:rsidRDefault="004862D1" w:rsidP="007B1FC8">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PAD 2018</w:t>
            </w:r>
          </w:p>
        </w:tc>
        <w:tc>
          <w:tcPr>
            <w:tcW w:w="803" w:type="pct"/>
            <w:vAlign w:val="center"/>
          </w:tcPr>
          <w:p w:rsidR="004862D1" w:rsidRPr="006B3B06" w:rsidRDefault="004862D1" w:rsidP="007B1FC8">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PAD 2019</w:t>
            </w:r>
          </w:p>
        </w:tc>
      </w:tr>
      <w:tr w:rsidR="004862D1" w:rsidRPr="006B3B06" w:rsidTr="007B1FC8">
        <w:trPr>
          <w:trHeight w:val="280"/>
          <w:jc w:val="center"/>
        </w:trPr>
        <w:tc>
          <w:tcPr>
            <w:tcW w:w="1777" w:type="pct"/>
            <w:vAlign w:val="center"/>
            <w:hideMark/>
          </w:tcPr>
          <w:p w:rsidR="004862D1" w:rsidRPr="006B3B06" w:rsidRDefault="004862D1" w:rsidP="007B1FC8">
            <w:pPr>
              <w:spacing w:line="276" w:lineRule="auto"/>
              <w:rPr>
                <w:rFonts w:ascii="Garamond" w:eastAsia="Garamond" w:hAnsi="Garamond" w:cs="Garamond"/>
                <w:sz w:val="20"/>
                <w:szCs w:val="20"/>
              </w:rPr>
            </w:pPr>
            <w:r w:rsidRPr="006B3B06">
              <w:rPr>
                <w:rFonts w:ascii="Garamond" w:eastAsia="Garamond" w:hAnsi="Garamond" w:cs="Garamond"/>
                <w:b/>
                <w:bCs/>
                <w:sz w:val="20"/>
                <w:szCs w:val="20"/>
              </w:rPr>
              <w:t>1. Control de Gestión</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14</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16</w:t>
            </w:r>
          </w:p>
        </w:tc>
        <w:tc>
          <w:tcPr>
            <w:tcW w:w="806"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16</w:t>
            </w:r>
          </w:p>
        </w:tc>
        <w:tc>
          <w:tcPr>
            <w:tcW w:w="803" w:type="pct"/>
            <w:vAlign w:val="center"/>
          </w:tcPr>
          <w:p w:rsidR="004862D1" w:rsidRPr="006B3B06" w:rsidRDefault="004862D1" w:rsidP="007B1FC8">
            <w:pPr>
              <w:spacing w:line="276" w:lineRule="auto"/>
              <w:jc w:val="center"/>
              <w:rPr>
                <w:rFonts w:ascii="Garamond" w:eastAsia="Garamond" w:hAnsi="Garamond" w:cs="Garamond"/>
                <w:b/>
                <w:bCs/>
                <w:sz w:val="20"/>
                <w:szCs w:val="20"/>
              </w:rPr>
            </w:pPr>
            <w:r w:rsidRPr="006B3B06">
              <w:rPr>
                <w:rFonts w:ascii="Garamond" w:eastAsia="Garamond" w:hAnsi="Garamond" w:cs="Garamond"/>
                <w:b/>
                <w:bCs/>
                <w:sz w:val="20"/>
                <w:szCs w:val="20"/>
              </w:rPr>
              <w:t>16</w:t>
            </w:r>
          </w:p>
        </w:tc>
      </w:tr>
      <w:tr w:rsidR="004862D1" w:rsidRPr="006B3B06" w:rsidTr="007B1FC8">
        <w:trPr>
          <w:trHeight w:val="137"/>
          <w:jc w:val="center"/>
        </w:trPr>
        <w:tc>
          <w:tcPr>
            <w:tcW w:w="1777" w:type="pct"/>
            <w:vAlign w:val="center"/>
            <w:hideMark/>
          </w:tcPr>
          <w:p w:rsidR="004862D1" w:rsidRPr="006B3B06" w:rsidRDefault="004862D1" w:rsidP="007B1FC8">
            <w:pPr>
              <w:spacing w:line="276" w:lineRule="auto"/>
              <w:rPr>
                <w:rFonts w:ascii="Garamond" w:eastAsia="Garamond" w:hAnsi="Garamond" w:cs="Garamond"/>
                <w:sz w:val="20"/>
                <w:szCs w:val="20"/>
              </w:rPr>
            </w:pPr>
            <w:r w:rsidRPr="006B3B06">
              <w:rPr>
                <w:rFonts w:ascii="Garamond" w:eastAsia="Garamond" w:hAnsi="Garamond" w:cs="Garamond"/>
                <w:sz w:val="20"/>
                <w:szCs w:val="20"/>
              </w:rPr>
              <w:t>1.1 Control Fiscal Interno</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3</w:t>
            </w:r>
          </w:p>
        </w:tc>
        <w:tc>
          <w:tcPr>
            <w:tcW w:w="806"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4</w:t>
            </w:r>
          </w:p>
        </w:tc>
        <w:tc>
          <w:tcPr>
            <w:tcW w:w="803" w:type="pct"/>
            <w:vAlign w:val="center"/>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4</w:t>
            </w:r>
          </w:p>
        </w:tc>
      </w:tr>
      <w:tr w:rsidR="004862D1" w:rsidRPr="006B3B06" w:rsidTr="007B1FC8">
        <w:trPr>
          <w:trHeight w:val="346"/>
          <w:jc w:val="center"/>
        </w:trPr>
        <w:tc>
          <w:tcPr>
            <w:tcW w:w="1777" w:type="pct"/>
            <w:vAlign w:val="center"/>
            <w:hideMark/>
          </w:tcPr>
          <w:p w:rsidR="004862D1" w:rsidRPr="006B3B06" w:rsidRDefault="004862D1" w:rsidP="007B1FC8">
            <w:pPr>
              <w:spacing w:line="276" w:lineRule="auto"/>
              <w:rPr>
                <w:rFonts w:ascii="Garamond" w:eastAsia="Garamond" w:hAnsi="Garamond" w:cs="Garamond"/>
                <w:sz w:val="20"/>
                <w:szCs w:val="20"/>
              </w:rPr>
            </w:pPr>
            <w:r w:rsidRPr="006B3B06">
              <w:rPr>
                <w:rFonts w:ascii="Garamond" w:eastAsia="Garamond" w:hAnsi="Garamond" w:cs="Garamond"/>
                <w:sz w:val="20"/>
                <w:szCs w:val="20"/>
              </w:rPr>
              <w:t>1.2 Plan de Mejoramiento</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c>
          <w:tcPr>
            <w:tcW w:w="806"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0</w:t>
            </w:r>
          </w:p>
        </w:tc>
        <w:tc>
          <w:tcPr>
            <w:tcW w:w="803" w:type="pct"/>
            <w:vAlign w:val="center"/>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0</w:t>
            </w:r>
          </w:p>
        </w:tc>
      </w:tr>
      <w:tr w:rsidR="004862D1" w:rsidRPr="006B3B06" w:rsidTr="007B1FC8">
        <w:trPr>
          <w:trHeight w:val="315"/>
          <w:jc w:val="center"/>
        </w:trPr>
        <w:tc>
          <w:tcPr>
            <w:tcW w:w="1777" w:type="pct"/>
            <w:vAlign w:val="center"/>
            <w:hideMark/>
          </w:tcPr>
          <w:p w:rsidR="004862D1" w:rsidRPr="006B3B06" w:rsidRDefault="004862D1" w:rsidP="007B1FC8">
            <w:pPr>
              <w:spacing w:line="276" w:lineRule="auto"/>
              <w:rPr>
                <w:rFonts w:ascii="Garamond" w:eastAsia="Garamond" w:hAnsi="Garamond" w:cs="Garamond"/>
                <w:sz w:val="20"/>
                <w:szCs w:val="20"/>
              </w:rPr>
            </w:pPr>
            <w:r w:rsidRPr="006B3B06">
              <w:rPr>
                <w:rFonts w:ascii="Garamond" w:eastAsia="Garamond" w:hAnsi="Garamond" w:cs="Garamond"/>
                <w:sz w:val="20"/>
                <w:szCs w:val="20"/>
              </w:rPr>
              <w:t>1.3 Gestión Contractual</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8</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10</w:t>
            </w:r>
          </w:p>
        </w:tc>
        <w:tc>
          <w:tcPr>
            <w:tcW w:w="806"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11</w:t>
            </w:r>
          </w:p>
        </w:tc>
        <w:tc>
          <w:tcPr>
            <w:tcW w:w="803" w:type="pct"/>
            <w:vAlign w:val="center"/>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11</w:t>
            </w:r>
          </w:p>
        </w:tc>
      </w:tr>
      <w:tr w:rsidR="004862D1" w:rsidRPr="006B3B06" w:rsidTr="007B1FC8">
        <w:trPr>
          <w:trHeight w:val="280"/>
          <w:jc w:val="center"/>
        </w:trPr>
        <w:tc>
          <w:tcPr>
            <w:tcW w:w="1777" w:type="pct"/>
            <w:vAlign w:val="center"/>
            <w:hideMark/>
          </w:tcPr>
          <w:p w:rsidR="004862D1" w:rsidRPr="006B3B06" w:rsidRDefault="004862D1" w:rsidP="007B1FC8">
            <w:pPr>
              <w:spacing w:line="276" w:lineRule="auto"/>
              <w:rPr>
                <w:rFonts w:ascii="Garamond" w:eastAsia="Garamond" w:hAnsi="Garamond" w:cs="Garamond"/>
                <w:sz w:val="20"/>
                <w:szCs w:val="20"/>
              </w:rPr>
            </w:pPr>
            <w:r w:rsidRPr="006B3B06">
              <w:rPr>
                <w:rFonts w:ascii="Garamond" w:eastAsia="Garamond" w:hAnsi="Garamond" w:cs="Garamond"/>
                <w:sz w:val="20"/>
                <w:szCs w:val="20"/>
              </w:rPr>
              <w:t>1.4 Gestión Presupuestal</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4</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2</w:t>
            </w:r>
          </w:p>
        </w:tc>
        <w:tc>
          <w:tcPr>
            <w:tcW w:w="806"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c>
          <w:tcPr>
            <w:tcW w:w="803" w:type="pct"/>
            <w:vAlign w:val="center"/>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r>
      <w:tr w:rsidR="004862D1" w:rsidRPr="006B3B06" w:rsidTr="007B1FC8">
        <w:trPr>
          <w:trHeight w:val="280"/>
          <w:jc w:val="center"/>
        </w:trPr>
        <w:tc>
          <w:tcPr>
            <w:tcW w:w="1777" w:type="pct"/>
            <w:vAlign w:val="center"/>
            <w:hideMark/>
          </w:tcPr>
          <w:p w:rsidR="004862D1" w:rsidRPr="006B3B06" w:rsidRDefault="004862D1" w:rsidP="007B1FC8">
            <w:pPr>
              <w:spacing w:line="276" w:lineRule="auto"/>
              <w:rPr>
                <w:rFonts w:ascii="Garamond" w:eastAsia="Garamond" w:hAnsi="Garamond" w:cs="Garamond"/>
                <w:sz w:val="20"/>
                <w:szCs w:val="20"/>
              </w:rPr>
            </w:pPr>
            <w:r w:rsidRPr="006B3B06">
              <w:rPr>
                <w:rFonts w:ascii="Garamond" w:eastAsia="Garamond" w:hAnsi="Garamond" w:cs="Garamond"/>
                <w:b/>
                <w:bCs/>
                <w:sz w:val="20"/>
                <w:szCs w:val="20"/>
              </w:rPr>
              <w:t>2. Control de Resultados</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3</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2</w:t>
            </w:r>
          </w:p>
        </w:tc>
        <w:tc>
          <w:tcPr>
            <w:tcW w:w="806"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w:t>
            </w:r>
          </w:p>
        </w:tc>
        <w:tc>
          <w:tcPr>
            <w:tcW w:w="803" w:type="pct"/>
            <w:vAlign w:val="center"/>
          </w:tcPr>
          <w:p w:rsidR="004862D1" w:rsidRPr="006B3B06" w:rsidRDefault="004862D1" w:rsidP="007B1FC8">
            <w:pPr>
              <w:spacing w:line="276" w:lineRule="auto"/>
              <w:jc w:val="center"/>
              <w:rPr>
                <w:rFonts w:ascii="Garamond" w:eastAsia="Garamond" w:hAnsi="Garamond" w:cs="Garamond"/>
                <w:b/>
                <w:bCs/>
                <w:sz w:val="20"/>
                <w:szCs w:val="20"/>
              </w:rPr>
            </w:pPr>
            <w:r w:rsidRPr="006B3B06">
              <w:rPr>
                <w:rFonts w:ascii="Garamond" w:eastAsia="Garamond" w:hAnsi="Garamond" w:cs="Garamond"/>
                <w:b/>
                <w:bCs/>
                <w:sz w:val="20"/>
                <w:szCs w:val="20"/>
              </w:rPr>
              <w:t>4</w:t>
            </w:r>
          </w:p>
        </w:tc>
      </w:tr>
      <w:tr w:rsidR="004862D1" w:rsidRPr="006B3B06" w:rsidTr="007B1FC8">
        <w:trPr>
          <w:trHeight w:val="286"/>
          <w:jc w:val="center"/>
        </w:trPr>
        <w:tc>
          <w:tcPr>
            <w:tcW w:w="1777" w:type="pct"/>
            <w:vAlign w:val="center"/>
            <w:hideMark/>
          </w:tcPr>
          <w:p w:rsidR="004862D1" w:rsidRPr="006B3B06" w:rsidRDefault="004862D1" w:rsidP="007B1FC8">
            <w:pPr>
              <w:spacing w:line="276" w:lineRule="auto"/>
              <w:rPr>
                <w:rFonts w:ascii="Garamond" w:eastAsia="Garamond" w:hAnsi="Garamond" w:cs="Garamond"/>
                <w:sz w:val="20"/>
                <w:szCs w:val="20"/>
              </w:rPr>
            </w:pPr>
            <w:r w:rsidRPr="006B3B06">
              <w:rPr>
                <w:rFonts w:ascii="Garamond" w:eastAsia="Garamond" w:hAnsi="Garamond" w:cs="Garamond"/>
                <w:sz w:val="20"/>
                <w:szCs w:val="20"/>
              </w:rPr>
              <w:t>2.1 Planes, programas y proyectos</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3</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2</w:t>
            </w:r>
          </w:p>
        </w:tc>
        <w:tc>
          <w:tcPr>
            <w:tcW w:w="806"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c>
          <w:tcPr>
            <w:tcW w:w="803" w:type="pct"/>
            <w:vAlign w:val="center"/>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4</w:t>
            </w:r>
          </w:p>
        </w:tc>
      </w:tr>
      <w:tr w:rsidR="004862D1" w:rsidRPr="006B3B06" w:rsidTr="007B1FC8">
        <w:trPr>
          <w:trHeight w:val="280"/>
          <w:jc w:val="center"/>
        </w:trPr>
        <w:tc>
          <w:tcPr>
            <w:tcW w:w="1777" w:type="pct"/>
            <w:vAlign w:val="center"/>
            <w:hideMark/>
          </w:tcPr>
          <w:p w:rsidR="004862D1" w:rsidRPr="006B3B06" w:rsidRDefault="004862D1" w:rsidP="007B1FC8">
            <w:pPr>
              <w:spacing w:line="276" w:lineRule="auto"/>
              <w:rPr>
                <w:rFonts w:ascii="Garamond" w:eastAsia="Garamond" w:hAnsi="Garamond" w:cs="Garamond"/>
                <w:sz w:val="20"/>
                <w:szCs w:val="20"/>
              </w:rPr>
            </w:pPr>
            <w:r w:rsidRPr="006B3B06">
              <w:rPr>
                <w:rFonts w:ascii="Garamond" w:eastAsia="Garamond" w:hAnsi="Garamond" w:cs="Garamond"/>
                <w:b/>
                <w:bCs/>
                <w:sz w:val="20"/>
                <w:szCs w:val="20"/>
              </w:rPr>
              <w:t>3. Control Financiero</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10</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11</w:t>
            </w:r>
          </w:p>
        </w:tc>
        <w:tc>
          <w:tcPr>
            <w:tcW w:w="806"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6</w:t>
            </w:r>
          </w:p>
        </w:tc>
        <w:tc>
          <w:tcPr>
            <w:tcW w:w="803" w:type="pct"/>
            <w:vAlign w:val="center"/>
          </w:tcPr>
          <w:p w:rsidR="004862D1" w:rsidRPr="006B3B06" w:rsidRDefault="004862D1" w:rsidP="007B1FC8">
            <w:pPr>
              <w:spacing w:line="276" w:lineRule="auto"/>
              <w:jc w:val="center"/>
              <w:rPr>
                <w:rFonts w:ascii="Garamond" w:eastAsia="Garamond" w:hAnsi="Garamond" w:cs="Garamond"/>
                <w:b/>
                <w:bCs/>
                <w:sz w:val="20"/>
                <w:szCs w:val="20"/>
              </w:rPr>
            </w:pPr>
            <w:r w:rsidRPr="006B3B06">
              <w:rPr>
                <w:rFonts w:ascii="Garamond" w:eastAsia="Garamond" w:hAnsi="Garamond" w:cs="Garamond"/>
                <w:b/>
                <w:bCs/>
                <w:sz w:val="20"/>
                <w:szCs w:val="20"/>
              </w:rPr>
              <w:t>5</w:t>
            </w:r>
          </w:p>
        </w:tc>
      </w:tr>
      <w:tr w:rsidR="004862D1" w:rsidRPr="006B3B06" w:rsidTr="007B1FC8">
        <w:trPr>
          <w:trHeight w:val="280"/>
          <w:jc w:val="center"/>
        </w:trPr>
        <w:tc>
          <w:tcPr>
            <w:tcW w:w="1777" w:type="pct"/>
            <w:vAlign w:val="center"/>
            <w:hideMark/>
          </w:tcPr>
          <w:p w:rsidR="004862D1" w:rsidRPr="006B3B06" w:rsidRDefault="004862D1" w:rsidP="007B1FC8">
            <w:pPr>
              <w:spacing w:line="276" w:lineRule="auto"/>
              <w:rPr>
                <w:rFonts w:ascii="Garamond" w:eastAsia="Garamond" w:hAnsi="Garamond" w:cs="Garamond"/>
                <w:sz w:val="20"/>
                <w:szCs w:val="20"/>
              </w:rPr>
            </w:pPr>
            <w:r w:rsidRPr="006B3B06">
              <w:rPr>
                <w:rFonts w:ascii="Garamond" w:eastAsia="Garamond" w:hAnsi="Garamond" w:cs="Garamond"/>
                <w:sz w:val="20"/>
                <w:szCs w:val="20"/>
              </w:rPr>
              <w:t>3.1 Factor estados financieros</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7</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2</w:t>
            </w:r>
          </w:p>
        </w:tc>
        <w:tc>
          <w:tcPr>
            <w:tcW w:w="806"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6</w:t>
            </w:r>
          </w:p>
        </w:tc>
        <w:tc>
          <w:tcPr>
            <w:tcW w:w="803" w:type="pct"/>
            <w:vAlign w:val="center"/>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5</w:t>
            </w:r>
          </w:p>
        </w:tc>
      </w:tr>
      <w:tr w:rsidR="004862D1" w:rsidRPr="006B3B06" w:rsidTr="007B1FC8">
        <w:trPr>
          <w:trHeight w:val="273"/>
          <w:jc w:val="center"/>
        </w:trPr>
        <w:tc>
          <w:tcPr>
            <w:tcW w:w="1777" w:type="pct"/>
            <w:vAlign w:val="center"/>
            <w:hideMark/>
          </w:tcPr>
          <w:p w:rsidR="004862D1" w:rsidRPr="006B3B06" w:rsidRDefault="004862D1" w:rsidP="007B1FC8">
            <w:pPr>
              <w:spacing w:line="276" w:lineRule="auto"/>
              <w:rPr>
                <w:rFonts w:ascii="Garamond" w:eastAsia="Garamond" w:hAnsi="Garamond" w:cs="Garamond"/>
                <w:sz w:val="20"/>
                <w:szCs w:val="20"/>
              </w:rPr>
            </w:pPr>
            <w:r w:rsidRPr="006B3B06">
              <w:rPr>
                <w:rFonts w:ascii="Garamond" w:eastAsia="Garamond" w:hAnsi="Garamond" w:cs="Garamond"/>
                <w:sz w:val="20"/>
                <w:szCs w:val="20"/>
              </w:rPr>
              <w:t>3.2 Control interno contable</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3</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9</w:t>
            </w:r>
          </w:p>
        </w:tc>
        <w:tc>
          <w:tcPr>
            <w:tcW w:w="806"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0</w:t>
            </w:r>
          </w:p>
        </w:tc>
        <w:tc>
          <w:tcPr>
            <w:tcW w:w="803" w:type="pct"/>
            <w:vAlign w:val="center"/>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0</w:t>
            </w:r>
          </w:p>
        </w:tc>
      </w:tr>
      <w:tr w:rsidR="004862D1" w:rsidRPr="006B3B06" w:rsidTr="007B1FC8">
        <w:trPr>
          <w:trHeight w:val="257"/>
          <w:jc w:val="center"/>
        </w:trPr>
        <w:tc>
          <w:tcPr>
            <w:tcW w:w="1777" w:type="pct"/>
            <w:vAlign w:val="center"/>
            <w:hideMark/>
          </w:tcPr>
          <w:p w:rsidR="004862D1" w:rsidRPr="006B3B06" w:rsidRDefault="004862D1" w:rsidP="007B1FC8">
            <w:pPr>
              <w:spacing w:line="276" w:lineRule="auto"/>
              <w:rPr>
                <w:rFonts w:ascii="Garamond" w:eastAsia="Garamond" w:hAnsi="Garamond" w:cs="Garamond"/>
                <w:sz w:val="20"/>
                <w:szCs w:val="20"/>
              </w:rPr>
            </w:pPr>
            <w:r w:rsidRPr="006B3B06">
              <w:rPr>
                <w:rFonts w:ascii="Garamond" w:eastAsia="Garamond" w:hAnsi="Garamond" w:cs="Garamond"/>
                <w:b/>
                <w:bCs/>
                <w:sz w:val="20"/>
                <w:szCs w:val="20"/>
              </w:rPr>
              <w:t>4. Otros Resultados</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2</w:t>
            </w:r>
          </w:p>
        </w:tc>
        <w:tc>
          <w:tcPr>
            <w:tcW w:w="806"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0</w:t>
            </w:r>
          </w:p>
        </w:tc>
        <w:tc>
          <w:tcPr>
            <w:tcW w:w="803" w:type="pct"/>
            <w:vAlign w:val="center"/>
          </w:tcPr>
          <w:p w:rsidR="004862D1" w:rsidRPr="006B3B06" w:rsidRDefault="004862D1" w:rsidP="007B1FC8">
            <w:pPr>
              <w:spacing w:line="276" w:lineRule="auto"/>
              <w:jc w:val="center"/>
              <w:rPr>
                <w:rFonts w:ascii="Garamond" w:eastAsia="Garamond" w:hAnsi="Garamond" w:cs="Garamond"/>
                <w:b/>
                <w:bCs/>
                <w:sz w:val="20"/>
                <w:szCs w:val="20"/>
              </w:rPr>
            </w:pPr>
            <w:r w:rsidRPr="006B3B06">
              <w:rPr>
                <w:rFonts w:ascii="Garamond" w:eastAsia="Garamond" w:hAnsi="Garamond" w:cs="Garamond"/>
                <w:b/>
                <w:bCs/>
                <w:sz w:val="20"/>
                <w:szCs w:val="20"/>
              </w:rPr>
              <w:t>0</w:t>
            </w:r>
          </w:p>
        </w:tc>
      </w:tr>
      <w:tr w:rsidR="004862D1" w:rsidRPr="006B3B06" w:rsidTr="007B1FC8">
        <w:trPr>
          <w:trHeight w:val="346"/>
          <w:jc w:val="center"/>
        </w:trPr>
        <w:tc>
          <w:tcPr>
            <w:tcW w:w="1777" w:type="pct"/>
            <w:vAlign w:val="center"/>
            <w:hideMark/>
          </w:tcPr>
          <w:p w:rsidR="004862D1" w:rsidRPr="006B3B06" w:rsidRDefault="004862D1" w:rsidP="007B1FC8">
            <w:pPr>
              <w:spacing w:line="276" w:lineRule="auto"/>
              <w:rPr>
                <w:rFonts w:ascii="Garamond" w:eastAsia="Garamond" w:hAnsi="Garamond" w:cs="Garamond"/>
                <w:sz w:val="20"/>
                <w:szCs w:val="20"/>
              </w:rPr>
            </w:pPr>
            <w:r w:rsidRPr="006B3B06">
              <w:rPr>
                <w:rFonts w:ascii="Garamond" w:eastAsia="Garamond" w:hAnsi="Garamond" w:cs="Garamond"/>
                <w:sz w:val="20"/>
                <w:szCs w:val="20"/>
              </w:rPr>
              <w:t>4.1 Atención de Quejas</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c>
          <w:tcPr>
            <w:tcW w:w="807"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2</w:t>
            </w:r>
          </w:p>
        </w:tc>
        <w:tc>
          <w:tcPr>
            <w:tcW w:w="806" w:type="pct"/>
            <w:vAlign w:val="center"/>
            <w:hideMark/>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0</w:t>
            </w:r>
          </w:p>
        </w:tc>
        <w:tc>
          <w:tcPr>
            <w:tcW w:w="803" w:type="pct"/>
            <w:vAlign w:val="center"/>
          </w:tcPr>
          <w:p w:rsidR="004862D1" w:rsidRPr="006B3B06" w:rsidRDefault="004862D1" w:rsidP="007B1FC8">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0</w:t>
            </w:r>
          </w:p>
        </w:tc>
      </w:tr>
      <w:tr w:rsidR="004862D1" w:rsidRPr="006B3B06" w:rsidTr="007B1FC8">
        <w:trPr>
          <w:cnfStyle w:val="010000000000" w:firstRow="0" w:lastRow="1" w:firstColumn="0" w:lastColumn="0" w:oddVBand="0" w:evenVBand="0" w:oddHBand="0" w:evenHBand="0" w:firstRowFirstColumn="0" w:firstRowLastColumn="0" w:lastRowFirstColumn="0" w:lastRowLastColumn="0"/>
          <w:trHeight w:val="315"/>
          <w:jc w:val="center"/>
        </w:trPr>
        <w:tc>
          <w:tcPr>
            <w:tcW w:w="1777" w:type="pct"/>
            <w:vAlign w:val="center"/>
            <w:hideMark/>
          </w:tcPr>
          <w:p w:rsidR="004862D1" w:rsidRPr="006B3B06" w:rsidRDefault="004862D1" w:rsidP="007B1FC8">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Total</w:t>
            </w:r>
          </w:p>
        </w:tc>
        <w:tc>
          <w:tcPr>
            <w:tcW w:w="807" w:type="pct"/>
            <w:vAlign w:val="center"/>
            <w:hideMark/>
          </w:tcPr>
          <w:p w:rsidR="004862D1" w:rsidRPr="006B3B06" w:rsidRDefault="004862D1" w:rsidP="007B1FC8">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28</w:t>
            </w:r>
          </w:p>
        </w:tc>
        <w:tc>
          <w:tcPr>
            <w:tcW w:w="807" w:type="pct"/>
            <w:vAlign w:val="center"/>
            <w:hideMark/>
          </w:tcPr>
          <w:p w:rsidR="004862D1" w:rsidRPr="006B3B06" w:rsidRDefault="004862D1" w:rsidP="007B1FC8">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31</w:t>
            </w:r>
          </w:p>
        </w:tc>
        <w:tc>
          <w:tcPr>
            <w:tcW w:w="806" w:type="pct"/>
            <w:vAlign w:val="center"/>
            <w:hideMark/>
          </w:tcPr>
          <w:p w:rsidR="004862D1" w:rsidRPr="006B3B06" w:rsidRDefault="004862D1" w:rsidP="007B1FC8">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23</w:t>
            </w:r>
          </w:p>
        </w:tc>
        <w:tc>
          <w:tcPr>
            <w:tcW w:w="803" w:type="pct"/>
            <w:vAlign w:val="center"/>
          </w:tcPr>
          <w:p w:rsidR="004862D1" w:rsidRPr="006B3B06" w:rsidRDefault="004862D1" w:rsidP="007B1FC8">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25</w:t>
            </w:r>
          </w:p>
        </w:tc>
      </w:tr>
    </w:tbl>
    <w:p w:rsidR="004862D1" w:rsidRPr="006B3B06" w:rsidRDefault="004862D1" w:rsidP="004862D1">
      <w:pPr>
        <w:jc w:val="center"/>
        <w:rPr>
          <w:rFonts w:ascii="Garamond" w:eastAsia="Garamond" w:hAnsi="Garamond" w:cs="Garamond"/>
          <w:sz w:val="18"/>
          <w:szCs w:val="18"/>
        </w:rPr>
      </w:pPr>
      <w:r w:rsidRPr="006B3B06">
        <w:rPr>
          <w:rFonts w:ascii="Garamond" w:eastAsia="Garamond" w:hAnsi="Garamond" w:cs="Garamond"/>
          <w:b/>
          <w:bCs/>
          <w:sz w:val="18"/>
          <w:szCs w:val="18"/>
        </w:rPr>
        <w:t xml:space="preserve">Fuente: </w:t>
      </w:r>
      <w:r w:rsidRPr="006B3B06">
        <w:rPr>
          <w:rFonts w:ascii="Garamond" w:eastAsia="Garamond" w:hAnsi="Garamond" w:cs="Garamond"/>
          <w:sz w:val="18"/>
          <w:szCs w:val="18"/>
        </w:rPr>
        <w:t>Elaboración Propia Subsecretaría de Gestión Institucional 2019.</w:t>
      </w:r>
    </w:p>
    <w:p w:rsidR="004862D1" w:rsidRPr="006B3B06" w:rsidRDefault="004862D1" w:rsidP="004862D1">
      <w:pPr>
        <w:jc w:val="both"/>
        <w:rPr>
          <w:rFonts w:ascii="Garamond" w:eastAsia="Garamond" w:hAnsi="Garamond" w:cs="Garamond"/>
        </w:rPr>
      </w:pPr>
    </w:p>
    <w:p w:rsidR="004862D1" w:rsidRPr="006B3B06" w:rsidRDefault="004862D1" w:rsidP="004862D1">
      <w:pPr>
        <w:jc w:val="both"/>
        <w:rPr>
          <w:rFonts w:ascii="Garamond" w:eastAsia="Garamond" w:hAnsi="Garamond" w:cs="Garamond"/>
        </w:rPr>
      </w:pPr>
      <w:r w:rsidRPr="006B3B06">
        <w:rPr>
          <w:rFonts w:ascii="Garamond" w:eastAsia="Garamond" w:hAnsi="Garamond" w:cs="Garamond"/>
        </w:rPr>
        <w:t>En el informe final entregado por el ente de control permite identificar los siguientes resultados en la gestión fiscal de la Entidad:</w:t>
      </w:r>
    </w:p>
    <w:p w:rsidR="004862D1" w:rsidRPr="006B3B06" w:rsidRDefault="004862D1" w:rsidP="004862D1">
      <w:pPr>
        <w:widowControl/>
        <w:numPr>
          <w:ilvl w:val="0"/>
          <w:numId w:val="1"/>
        </w:numPr>
        <w:suppressAutoHyphens/>
        <w:autoSpaceDE/>
        <w:spacing w:after="200" w:line="276" w:lineRule="auto"/>
        <w:jc w:val="both"/>
        <w:textAlignment w:val="baseline"/>
        <w:rPr>
          <w:rFonts w:ascii="Garamond" w:hAnsi="Garamond"/>
          <w:lang w:val="es-CO"/>
        </w:rPr>
      </w:pPr>
      <w:r w:rsidRPr="006B3B06">
        <w:rPr>
          <w:rFonts w:ascii="Garamond" w:eastAsia="Garamond" w:hAnsi="Garamond" w:cs="Garamond"/>
          <w:lang w:val="es-CO"/>
        </w:rPr>
        <w:t>Control de la gestión: la evaluación del Plan de Mejoramiento obtuvo 100% en eficacia y la efectividad supera el 75%.</w:t>
      </w:r>
    </w:p>
    <w:p w:rsidR="004862D1" w:rsidRPr="006B3B06" w:rsidRDefault="004862D1" w:rsidP="004862D1">
      <w:pPr>
        <w:widowControl/>
        <w:numPr>
          <w:ilvl w:val="0"/>
          <w:numId w:val="1"/>
        </w:numPr>
        <w:suppressAutoHyphens/>
        <w:autoSpaceDE/>
        <w:spacing w:after="200" w:line="276" w:lineRule="auto"/>
        <w:jc w:val="both"/>
        <w:textAlignment w:val="baseline"/>
        <w:rPr>
          <w:rFonts w:ascii="Garamond" w:hAnsi="Garamond"/>
          <w:lang w:val="es-CO"/>
        </w:rPr>
      </w:pPr>
      <w:r w:rsidRPr="006B3B06">
        <w:rPr>
          <w:rFonts w:ascii="Garamond" w:eastAsia="Garamond" w:hAnsi="Garamond" w:cs="Garamond"/>
          <w:lang w:val="es-CO"/>
        </w:rPr>
        <w:t>Control financiero: obtuvo una calificación de 4,67 sobre un total de 5 criterios del marco de referencia de proceso contable.</w:t>
      </w:r>
    </w:p>
    <w:p w:rsidR="004862D1" w:rsidRPr="006B3B06" w:rsidRDefault="004862D1" w:rsidP="004862D1">
      <w:pPr>
        <w:widowControl/>
        <w:numPr>
          <w:ilvl w:val="0"/>
          <w:numId w:val="1"/>
        </w:numPr>
        <w:suppressAutoHyphens/>
        <w:autoSpaceDE/>
        <w:spacing w:after="200" w:line="276" w:lineRule="auto"/>
        <w:jc w:val="both"/>
        <w:textAlignment w:val="baseline"/>
        <w:rPr>
          <w:rFonts w:ascii="Garamond" w:hAnsi="Garamond"/>
          <w:lang w:val="es-CO"/>
        </w:rPr>
      </w:pPr>
      <w:r w:rsidRPr="006B3B06">
        <w:rPr>
          <w:rFonts w:ascii="Garamond" w:eastAsia="Garamond" w:hAnsi="Garamond" w:cs="Garamond"/>
          <w:lang w:val="es-CO"/>
        </w:rPr>
        <w:t>Opinión sobre los Estados Contables: obtuvo una opinión limpia.</w:t>
      </w:r>
    </w:p>
    <w:p w:rsidR="004862D1" w:rsidRPr="006B3B06" w:rsidRDefault="004862D1" w:rsidP="004862D1">
      <w:pPr>
        <w:widowControl/>
        <w:numPr>
          <w:ilvl w:val="0"/>
          <w:numId w:val="1"/>
        </w:numPr>
        <w:suppressAutoHyphens/>
        <w:autoSpaceDE/>
        <w:spacing w:after="200" w:line="276" w:lineRule="auto"/>
        <w:jc w:val="both"/>
        <w:textAlignment w:val="baseline"/>
        <w:rPr>
          <w:rFonts w:ascii="Garamond" w:hAnsi="Garamond"/>
          <w:lang w:val="es-CO"/>
        </w:rPr>
      </w:pPr>
      <w:r w:rsidRPr="006B3B06">
        <w:rPr>
          <w:rFonts w:ascii="Garamond" w:eastAsia="Garamond" w:hAnsi="Garamond" w:cs="Garamond"/>
          <w:lang w:val="es-CO"/>
        </w:rPr>
        <w:t>Concepto sobre la calidad y eficiencia del control fiscal interno: 90% de eficacia y calidad, y 88% de eficiencia.</w:t>
      </w:r>
      <w:r w:rsidRPr="006B3B06">
        <w:rPr>
          <w:rFonts w:ascii="Garamond" w:hAnsi="Garamond"/>
          <w:lang w:val="es-CO"/>
        </w:rPr>
        <w:tab/>
      </w:r>
    </w:p>
    <w:p w:rsidR="004862D1" w:rsidRPr="006B3B06" w:rsidRDefault="004862D1" w:rsidP="004862D1">
      <w:pPr>
        <w:jc w:val="both"/>
        <w:rPr>
          <w:rFonts w:ascii="Garamond" w:eastAsia="Garamond" w:hAnsi="Garamond" w:cs="Garamond"/>
        </w:rPr>
      </w:pPr>
      <w:r w:rsidRPr="006B3B06">
        <w:rPr>
          <w:rFonts w:ascii="Garamond" w:eastAsia="Garamond" w:hAnsi="Garamond" w:cs="Garamond"/>
        </w:rPr>
        <w:t>Posterior a estos resultados, se procedió a la formulación del plan de mejoramiento.</w:t>
      </w:r>
    </w:p>
    <w:p w:rsidR="004862D1" w:rsidRPr="006B3B06" w:rsidRDefault="004862D1" w:rsidP="004862D1">
      <w:pPr>
        <w:tabs>
          <w:tab w:val="left" w:pos="962"/>
        </w:tabs>
        <w:rPr>
          <w:rFonts w:ascii="Garamond" w:eastAsia="Garamond" w:hAnsi="Garamond" w:cs="Garamond"/>
        </w:rPr>
      </w:pPr>
    </w:p>
    <w:p w:rsidR="004862D1" w:rsidRPr="006B3B06" w:rsidRDefault="004862D1" w:rsidP="004862D1">
      <w:pPr>
        <w:pStyle w:val="Prrafodelista"/>
        <w:numPr>
          <w:ilvl w:val="1"/>
          <w:numId w:val="2"/>
        </w:numPr>
        <w:tabs>
          <w:tab w:val="left" w:pos="962"/>
        </w:tabs>
        <w:rPr>
          <w:rFonts w:ascii="Garamond" w:hAnsi="Garamond"/>
          <w:b/>
        </w:rPr>
      </w:pPr>
      <w:r w:rsidRPr="006B3B06">
        <w:rPr>
          <w:rFonts w:ascii="Garamond" w:eastAsia="Garamond" w:hAnsi="Garamond" w:cs="Garamond"/>
          <w:b/>
          <w:color w:val="2E5395"/>
        </w:rPr>
        <w:lastRenderedPageBreak/>
        <w:t>Auditoría de</w:t>
      </w:r>
      <w:r w:rsidRPr="006B3B06">
        <w:rPr>
          <w:rFonts w:ascii="Garamond" w:eastAsia="Garamond" w:hAnsi="Garamond" w:cs="Garamond"/>
          <w:b/>
          <w:color w:val="2E5395"/>
          <w:spacing w:val="-1"/>
        </w:rPr>
        <w:t xml:space="preserve"> </w:t>
      </w:r>
      <w:r w:rsidRPr="006B3B06">
        <w:rPr>
          <w:rFonts w:ascii="Garamond" w:eastAsia="Garamond" w:hAnsi="Garamond" w:cs="Garamond"/>
          <w:b/>
          <w:color w:val="2E5395"/>
        </w:rPr>
        <w:t>Desempeño</w:t>
      </w:r>
    </w:p>
    <w:p w:rsidR="004862D1" w:rsidRPr="006B3B06" w:rsidRDefault="004862D1" w:rsidP="004862D1">
      <w:pPr>
        <w:jc w:val="both"/>
        <w:rPr>
          <w:rFonts w:ascii="Garamond" w:eastAsia="Garamond" w:hAnsi="Garamond" w:cs="Garamond"/>
        </w:rPr>
      </w:pPr>
    </w:p>
    <w:p w:rsidR="004862D1" w:rsidRPr="006B3B06" w:rsidRDefault="004862D1" w:rsidP="004862D1">
      <w:pPr>
        <w:tabs>
          <w:tab w:val="left" w:pos="962"/>
        </w:tabs>
        <w:jc w:val="both"/>
        <w:rPr>
          <w:rFonts w:ascii="Garamond" w:eastAsia="Garamond" w:hAnsi="Garamond" w:cs="Garamond"/>
        </w:rPr>
      </w:pPr>
      <w:r w:rsidRPr="006B3B06">
        <w:rPr>
          <w:rFonts w:ascii="Garamond" w:eastAsia="Garamond" w:hAnsi="Garamond" w:cs="Garamond"/>
        </w:rPr>
        <w:t xml:space="preserve">Mediante radicado </w:t>
      </w:r>
      <w:proofErr w:type="spellStart"/>
      <w:r w:rsidRPr="006B3B06">
        <w:rPr>
          <w:rFonts w:ascii="Garamond" w:eastAsia="Garamond" w:hAnsi="Garamond" w:cs="Garamond"/>
        </w:rPr>
        <w:t>N°</w:t>
      </w:r>
      <w:proofErr w:type="spellEnd"/>
      <w:r w:rsidRPr="006B3B06">
        <w:rPr>
          <w:rFonts w:ascii="Garamond" w:eastAsia="Garamond" w:hAnsi="Garamond" w:cs="Garamond"/>
        </w:rPr>
        <w:t xml:space="preserve"> 20194210945792 del 20 de agosto, fue informada la realización de la Auditoría de Desempeño para “verificar la liquidación y pago de las prestaciones sociales </w:t>
      </w:r>
      <w:proofErr w:type="gramStart"/>
      <w:r w:rsidRPr="006B3B06">
        <w:rPr>
          <w:rFonts w:ascii="Garamond" w:eastAsia="Garamond" w:hAnsi="Garamond" w:cs="Garamond"/>
        </w:rPr>
        <w:t>de acuerdo a</w:t>
      </w:r>
      <w:proofErr w:type="gramEnd"/>
      <w:r w:rsidRPr="006B3B06">
        <w:rPr>
          <w:rFonts w:ascii="Garamond" w:eastAsia="Garamond" w:hAnsi="Garamond" w:cs="Garamond"/>
        </w:rPr>
        <w:t xml:space="preserve"> los perfiles y requisitos de la Secretaría Distrital de Gobierno – SDG”, la cual fue desarrollada entre el 22 de agosto al 18 de noviembre. Como resultado de esta auditoría, el ente de control dictaminó un total cuatro (4) hallazgos administrativos, sin ningún tipo de incidencia, todos relacionados con el fortalecimiento de las instrucciones y/o procedimientos internos.</w:t>
      </w:r>
    </w:p>
    <w:p w:rsidR="004862D1" w:rsidRPr="006B3B06" w:rsidRDefault="004862D1" w:rsidP="004862D1">
      <w:pPr>
        <w:tabs>
          <w:tab w:val="left" w:pos="962"/>
        </w:tabs>
        <w:rPr>
          <w:rFonts w:ascii="Garamond" w:eastAsia="Garamond" w:hAnsi="Garamond" w:cs="Garamond"/>
        </w:rPr>
      </w:pPr>
    </w:p>
    <w:p w:rsidR="004862D1" w:rsidRPr="006B3B06" w:rsidRDefault="004862D1" w:rsidP="004862D1">
      <w:pPr>
        <w:pStyle w:val="Prrafodelista"/>
        <w:numPr>
          <w:ilvl w:val="1"/>
          <w:numId w:val="2"/>
        </w:numPr>
        <w:tabs>
          <w:tab w:val="left" w:pos="962"/>
        </w:tabs>
        <w:rPr>
          <w:rFonts w:ascii="Garamond" w:hAnsi="Garamond"/>
          <w:b/>
        </w:rPr>
      </w:pPr>
      <w:r w:rsidRPr="006B3B06">
        <w:rPr>
          <w:rFonts w:ascii="Garamond" w:eastAsia="Garamond" w:hAnsi="Garamond" w:cs="Garamond"/>
          <w:b/>
          <w:color w:val="2E5395"/>
        </w:rPr>
        <w:t>Plan de Mejoramiento</w:t>
      </w:r>
      <w:r w:rsidRPr="006B3B06">
        <w:rPr>
          <w:rFonts w:ascii="Garamond" w:eastAsia="Garamond" w:hAnsi="Garamond" w:cs="Garamond"/>
          <w:b/>
          <w:color w:val="2E5395"/>
          <w:spacing w:val="-2"/>
        </w:rPr>
        <w:t xml:space="preserve"> </w:t>
      </w:r>
      <w:r w:rsidRPr="006B3B06">
        <w:rPr>
          <w:rFonts w:ascii="Garamond" w:eastAsia="Garamond" w:hAnsi="Garamond" w:cs="Garamond"/>
          <w:b/>
          <w:color w:val="2E5395"/>
        </w:rPr>
        <w:t>Vigente</w:t>
      </w:r>
    </w:p>
    <w:p w:rsidR="004862D1" w:rsidRPr="006B3B06" w:rsidRDefault="004862D1" w:rsidP="004862D1">
      <w:pPr>
        <w:tabs>
          <w:tab w:val="left" w:pos="962"/>
        </w:tabs>
        <w:rPr>
          <w:rFonts w:ascii="Garamond" w:eastAsia="Garamond" w:hAnsi="Garamond" w:cs="Garamond"/>
        </w:rPr>
      </w:pPr>
    </w:p>
    <w:p w:rsidR="004862D1" w:rsidRPr="006B3B06" w:rsidRDefault="004862D1" w:rsidP="004862D1">
      <w:pPr>
        <w:tabs>
          <w:tab w:val="left" w:pos="962"/>
        </w:tabs>
        <w:jc w:val="both"/>
        <w:rPr>
          <w:rFonts w:ascii="Garamond" w:eastAsia="Garamond" w:hAnsi="Garamond" w:cs="Garamond"/>
        </w:rPr>
      </w:pPr>
      <w:r w:rsidRPr="006B3B06">
        <w:rPr>
          <w:rFonts w:ascii="Garamond" w:eastAsia="Garamond" w:hAnsi="Garamond" w:cs="Garamond"/>
        </w:rPr>
        <w:t>Es importante iniciar esta sección, indicando que en la Auditoría de Regularidad PAD 2019, código 12, la totalidad de las acciones evaluadas por el ente de control fueron cerradas por cumplimiento completo; de esta forma, quedaron en estado “abierto” aquellas actividades cuyo plazo de ejecución excedía el 31 de diciembre de 2018 y se adicionaron las acciones formuladas como resultado de la auditoría de regularidad y de la auditoría de desempeño realizada.</w:t>
      </w:r>
    </w:p>
    <w:p w:rsidR="004862D1" w:rsidRPr="006B3B06" w:rsidRDefault="004862D1" w:rsidP="004862D1">
      <w:pPr>
        <w:tabs>
          <w:tab w:val="left" w:pos="962"/>
        </w:tabs>
        <w:jc w:val="both"/>
        <w:rPr>
          <w:rFonts w:ascii="Garamond" w:eastAsia="Garamond" w:hAnsi="Garamond" w:cs="Garamond"/>
        </w:rPr>
      </w:pPr>
    </w:p>
    <w:p w:rsidR="004862D1" w:rsidRPr="006B3B06" w:rsidRDefault="004862D1" w:rsidP="004862D1">
      <w:pPr>
        <w:widowControl/>
        <w:autoSpaceDE/>
        <w:autoSpaceDN/>
        <w:jc w:val="both"/>
        <w:textAlignment w:val="baseline"/>
        <w:rPr>
          <w:rFonts w:ascii="Garamond" w:eastAsia="Garamond" w:hAnsi="Garamond" w:cs="Garamond"/>
          <w:sz w:val="16"/>
          <w:szCs w:val="16"/>
          <w:lang w:val="es-CO" w:eastAsia="es-CO" w:bidi="ar-SA"/>
        </w:rPr>
      </w:pPr>
      <w:r w:rsidRPr="006B3B06">
        <w:rPr>
          <w:rFonts w:ascii="Garamond" w:eastAsia="Garamond" w:hAnsi="Garamond" w:cs="Garamond"/>
          <w:lang w:eastAsia="es-CO" w:bidi="ar-SA"/>
        </w:rPr>
        <w:t>A continuación, se presenta la distribución de las acciones entre las dependencias de la Entidad:</w:t>
      </w:r>
      <w:r w:rsidRPr="006B3B06">
        <w:rPr>
          <w:rFonts w:ascii="Garamond" w:eastAsia="Garamond" w:hAnsi="Garamond" w:cs="Garamond"/>
          <w:lang w:val="es-CO" w:eastAsia="es-CO" w:bidi="ar-SA"/>
        </w:rPr>
        <w:t> </w:t>
      </w:r>
    </w:p>
    <w:p w:rsidR="004862D1" w:rsidRPr="006B3B06" w:rsidRDefault="004862D1" w:rsidP="004862D1">
      <w:pPr>
        <w:widowControl/>
        <w:autoSpaceDE/>
        <w:autoSpaceDN/>
        <w:jc w:val="both"/>
        <w:textAlignment w:val="baseline"/>
        <w:rPr>
          <w:rFonts w:ascii="Garamond" w:eastAsia="Garamond" w:hAnsi="Garamond" w:cs="Garamond"/>
          <w:sz w:val="18"/>
          <w:szCs w:val="18"/>
          <w:lang w:val="es-CO" w:eastAsia="es-CO" w:bidi="ar-SA"/>
        </w:rPr>
      </w:pPr>
      <w:r w:rsidRPr="006B3B06">
        <w:rPr>
          <w:rFonts w:ascii="Garamond" w:eastAsia="Garamond" w:hAnsi="Garamond" w:cs="Garamond"/>
          <w:sz w:val="24"/>
          <w:szCs w:val="24"/>
          <w:lang w:val="es-CO" w:eastAsia="es-CO" w:bidi="ar-SA"/>
        </w:rPr>
        <w:t> </w:t>
      </w:r>
    </w:p>
    <w:p w:rsidR="004862D1" w:rsidRPr="006B3B06" w:rsidRDefault="004862D1" w:rsidP="004862D1">
      <w:pPr>
        <w:pStyle w:val="Descripcin"/>
        <w:keepNext/>
        <w:spacing w:after="0"/>
        <w:jc w:val="center"/>
        <w:rPr>
          <w:rFonts w:ascii="Garamond" w:hAnsi="Garamond"/>
        </w:rPr>
      </w:pPr>
      <w:bookmarkStart w:id="8" w:name="_Toc28963750"/>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Pr>
          <w:rFonts w:ascii="Garamond" w:hAnsi="Garamond"/>
          <w:noProof/>
        </w:rPr>
        <w:t>34</w:t>
      </w:r>
      <w:r w:rsidRPr="006B3B06">
        <w:rPr>
          <w:rFonts w:ascii="Garamond" w:hAnsi="Garamond"/>
        </w:rPr>
        <w:fldChar w:fldCharType="end"/>
      </w:r>
      <w:r w:rsidRPr="006B3B06">
        <w:rPr>
          <w:rFonts w:ascii="Garamond" w:hAnsi="Garamond"/>
        </w:rPr>
        <w:t xml:space="preserve"> Distribución Acciones Plan de Mejoramiento</w:t>
      </w:r>
      <w:bookmarkEnd w:id="8"/>
    </w:p>
    <w:tbl>
      <w:tblPr>
        <w:tblW w:w="811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2"/>
        <w:gridCol w:w="1002"/>
        <w:gridCol w:w="1003"/>
        <w:gridCol w:w="1190"/>
      </w:tblGrid>
      <w:tr w:rsidR="004862D1" w:rsidRPr="006B3B06" w:rsidTr="007B1FC8">
        <w:trPr>
          <w:trHeight w:val="270"/>
          <w:tblHeader/>
          <w:jc w:val="center"/>
        </w:trPr>
        <w:tc>
          <w:tcPr>
            <w:tcW w:w="5310" w:type="dxa"/>
            <w:vMerge w:val="restart"/>
            <w:tcBorders>
              <w:top w:val="single" w:sz="6" w:space="0" w:color="63A6F7"/>
              <w:left w:val="single" w:sz="6" w:space="0" w:color="63A6F7"/>
              <w:bottom w:val="single" w:sz="12" w:space="0" w:color="167AF3"/>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Responsable</w:t>
            </w:r>
            <w:r w:rsidRPr="006B3B06">
              <w:rPr>
                <w:rFonts w:ascii="Garamond" w:eastAsia="Garamond" w:hAnsi="Garamond" w:cs="Garamond"/>
                <w:b/>
                <w:bCs/>
                <w:sz w:val="20"/>
                <w:szCs w:val="20"/>
                <w:lang w:val="es-CO" w:eastAsia="es-CO" w:bidi="ar-SA"/>
              </w:rPr>
              <w:t> </w:t>
            </w:r>
          </w:p>
        </w:tc>
        <w:tc>
          <w:tcPr>
            <w:tcW w:w="2130" w:type="dxa"/>
            <w:gridSpan w:val="2"/>
            <w:tcBorders>
              <w:top w:val="single" w:sz="6" w:space="0" w:color="63A6F7"/>
              <w:left w:val="nil"/>
              <w:bottom w:val="single" w:sz="12" w:space="0" w:color="167AF3"/>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Vigencia</w:t>
            </w:r>
            <w:r w:rsidRPr="006B3B06">
              <w:rPr>
                <w:rFonts w:ascii="Garamond" w:eastAsia="Garamond" w:hAnsi="Garamond" w:cs="Garamond"/>
                <w:b/>
                <w:bCs/>
                <w:sz w:val="20"/>
                <w:szCs w:val="20"/>
                <w:lang w:val="es-CO" w:eastAsia="es-CO" w:bidi="ar-SA"/>
              </w:rPr>
              <w:t> </w:t>
            </w:r>
          </w:p>
        </w:tc>
        <w:tc>
          <w:tcPr>
            <w:tcW w:w="677" w:type="dxa"/>
            <w:vMerge w:val="restart"/>
            <w:tcBorders>
              <w:top w:val="single" w:sz="6" w:space="0" w:color="63A6F7"/>
              <w:left w:val="nil"/>
              <w:bottom w:val="single" w:sz="12" w:space="0" w:color="167AF3"/>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Total general</w:t>
            </w:r>
            <w:r w:rsidRPr="006B3B06">
              <w:rPr>
                <w:rFonts w:ascii="Garamond" w:eastAsia="Garamond" w:hAnsi="Garamond" w:cs="Garamond"/>
                <w:b/>
                <w:bCs/>
                <w:sz w:val="20"/>
                <w:szCs w:val="20"/>
                <w:lang w:val="es-CO" w:eastAsia="es-CO" w:bidi="ar-SA"/>
              </w:rPr>
              <w:t> </w:t>
            </w:r>
          </w:p>
        </w:tc>
      </w:tr>
      <w:tr w:rsidR="004862D1" w:rsidRPr="006B3B06" w:rsidTr="007B1FC8">
        <w:trPr>
          <w:trHeight w:val="270"/>
          <w:tblHeader/>
          <w:jc w:val="center"/>
        </w:trPr>
        <w:tc>
          <w:tcPr>
            <w:tcW w:w="0" w:type="auto"/>
            <w:vMerge/>
            <w:vAlign w:val="center"/>
            <w:hideMark/>
          </w:tcPr>
          <w:p w:rsidR="004862D1" w:rsidRPr="006B3B06" w:rsidRDefault="004862D1" w:rsidP="007B1FC8">
            <w:pPr>
              <w:widowControl/>
              <w:autoSpaceDE/>
              <w:autoSpaceDN/>
              <w:rPr>
                <w:rFonts w:ascii="Garamond" w:hAnsi="Garamond"/>
                <w:b/>
                <w:bCs/>
                <w:sz w:val="20"/>
                <w:szCs w:val="24"/>
                <w:lang w:val="es-CO" w:eastAsia="es-CO" w:bidi="ar-SA"/>
              </w:rPr>
            </w:pPr>
          </w:p>
        </w:tc>
        <w:tc>
          <w:tcPr>
            <w:tcW w:w="1065" w:type="dxa"/>
            <w:tcBorders>
              <w:top w:val="nil"/>
              <w:left w:val="nil"/>
              <w:bottom w:val="single" w:sz="12" w:space="0" w:color="167AF3"/>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2018</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12" w:space="0" w:color="167AF3"/>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2019</w:t>
            </w:r>
            <w:r w:rsidRPr="006B3B06">
              <w:rPr>
                <w:rFonts w:ascii="Garamond" w:eastAsia="Garamond" w:hAnsi="Garamond" w:cs="Garamond"/>
                <w:b/>
                <w:bCs/>
                <w:sz w:val="20"/>
                <w:szCs w:val="20"/>
                <w:lang w:val="es-CO" w:eastAsia="es-CO" w:bidi="ar-SA"/>
              </w:rPr>
              <w:t> </w:t>
            </w:r>
          </w:p>
        </w:tc>
        <w:tc>
          <w:tcPr>
            <w:tcW w:w="677" w:type="dxa"/>
            <w:vMerge/>
            <w:vAlign w:val="center"/>
            <w:hideMark/>
          </w:tcPr>
          <w:p w:rsidR="004862D1" w:rsidRPr="006B3B06" w:rsidRDefault="004862D1" w:rsidP="007B1FC8">
            <w:pPr>
              <w:widowControl/>
              <w:autoSpaceDE/>
              <w:autoSpaceDN/>
              <w:rPr>
                <w:rFonts w:ascii="Garamond" w:hAnsi="Garamond"/>
                <w:b/>
                <w:bCs/>
                <w:sz w:val="20"/>
                <w:szCs w:val="24"/>
                <w:lang w:val="es-CO" w:eastAsia="es-CO" w:bidi="ar-SA"/>
              </w:rPr>
            </w:pP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Administrativa</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2</w:t>
            </w: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2</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4</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Contratación</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w:t>
            </w: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15</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Derechos Humanos</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Financiera</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4</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Oficina Asesora de Planeación</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Oficina Asesora de Comunicaciones</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Subsecretaría para la Gobernabilidad y la Garantía de Derechos</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Tecnologías e Información</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Subsecretaría de Gestión Institucional</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Jurídica</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tcPr>
          <w:p w:rsidR="004862D1" w:rsidRPr="006B3B06" w:rsidRDefault="004862D1" w:rsidP="007B1FC8">
            <w:pPr>
              <w:widowControl/>
              <w:autoSpaceDE/>
              <w:autoSpaceDN/>
              <w:textAlignment w:val="baseline"/>
              <w:rPr>
                <w:rFonts w:ascii="Garamond" w:eastAsia="Garamond" w:hAnsi="Garamond" w:cs="Garamond"/>
                <w:sz w:val="20"/>
                <w:szCs w:val="20"/>
                <w:lang w:eastAsia="es-CO" w:bidi="ar-SA"/>
              </w:rPr>
            </w:pPr>
            <w:r w:rsidRPr="006B3B06">
              <w:rPr>
                <w:rFonts w:ascii="Garamond" w:eastAsia="Garamond" w:hAnsi="Garamond" w:cs="Garamond"/>
                <w:sz w:val="20"/>
                <w:szCs w:val="20"/>
                <w:lang w:eastAsia="es-CO" w:bidi="ar-SA"/>
              </w:rPr>
              <w:t>Dirección de Gestión del Talento Humano</w:t>
            </w:r>
          </w:p>
        </w:tc>
        <w:tc>
          <w:tcPr>
            <w:tcW w:w="1065" w:type="dxa"/>
            <w:tcBorders>
              <w:top w:val="nil"/>
              <w:left w:val="nil"/>
              <w:bottom w:val="single" w:sz="6" w:space="0" w:color="63A6F7"/>
              <w:right w:val="single" w:sz="6" w:space="0" w:color="63A6F7"/>
            </w:tcBorders>
            <w:shd w:val="clear" w:color="auto" w:fill="auto"/>
            <w:vAlign w:val="center"/>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p>
        </w:tc>
        <w:tc>
          <w:tcPr>
            <w:tcW w:w="1065" w:type="dxa"/>
            <w:tcBorders>
              <w:top w:val="nil"/>
              <w:left w:val="nil"/>
              <w:bottom w:val="single" w:sz="6" w:space="0" w:color="63A6F7"/>
              <w:right w:val="single" w:sz="6" w:space="0" w:color="63A6F7"/>
            </w:tcBorders>
            <w:shd w:val="clear" w:color="auto" w:fill="auto"/>
            <w:vAlign w:val="center"/>
          </w:tcPr>
          <w:p w:rsidR="004862D1" w:rsidRPr="006B3B06" w:rsidRDefault="004862D1" w:rsidP="007B1FC8">
            <w:pPr>
              <w:widowControl/>
              <w:autoSpaceDE/>
              <w:autoSpaceDN/>
              <w:jc w:val="center"/>
              <w:textAlignment w:val="baseline"/>
              <w:rPr>
                <w:rFonts w:ascii="Garamond" w:eastAsia="Garamond" w:hAnsi="Garamond" w:cs="Garamond"/>
                <w:sz w:val="20"/>
                <w:szCs w:val="20"/>
                <w:lang w:eastAsia="es-CO" w:bidi="ar-SA"/>
              </w:rPr>
            </w:pPr>
            <w:r w:rsidRPr="006B3B06">
              <w:rPr>
                <w:rFonts w:ascii="Garamond" w:eastAsia="Garamond" w:hAnsi="Garamond" w:cs="Garamond"/>
                <w:sz w:val="20"/>
                <w:szCs w:val="20"/>
                <w:lang w:eastAsia="es-CO" w:bidi="ar-SA"/>
              </w:rPr>
              <w:t>3</w:t>
            </w:r>
          </w:p>
        </w:tc>
        <w:tc>
          <w:tcPr>
            <w:tcW w:w="677" w:type="dxa"/>
            <w:tcBorders>
              <w:top w:val="nil"/>
              <w:left w:val="nil"/>
              <w:bottom w:val="single" w:sz="6" w:space="0" w:color="63A6F7"/>
              <w:right w:val="single" w:sz="6" w:space="0" w:color="63A6F7"/>
            </w:tcBorders>
            <w:shd w:val="clear" w:color="auto" w:fill="auto"/>
            <w:vAlign w:val="center"/>
          </w:tcPr>
          <w:p w:rsidR="004862D1" w:rsidRPr="006B3B06" w:rsidRDefault="004862D1" w:rsidP="007B1FC8">
            <w:pPr>
              <w:widowControl/>
              <w:autoSpaceDE/>
              <w:autoSpaceDN/>
              <w:jc w:val="center"/>
              <w:textAlignment w:val="baseline"/>
              <w:rPr>
                <w:rFonts w:ascii="Garamond" w:eastAsia="Garamond" w:hAnsi="Garamond" w:cs="Garamond"/>
                <w:sz w:val="20"/>
                <w:szCs w:val="20"/>
                <w:lang w:eastAsia="es-CO" w:bidi="ar-SA"/>
              </w:rPr>
            </w:pPr>
            <w:r w:rsidRPr="006B3B06">
              <w:rPr>
                <w:rFonts w:ascii="Garamond" w:eastAsia="Garamond" w:hAnsi="Garamond" w:cs="Garamond"/>
                <w:sz w:val="20"/>
                <w:szCs w:val="20"/>
                <w:lang w:eastAsia="es-CO" w:bidi="ar-SA"/>
              </w:rPr>
              <w:t>3</w:t>
            </w:r>
          </w:p>
        </w:tc>
      </w:tr>
      <w:tr w:rsidR="004862D1" w:rsidRPr="006B3B06" w:rsidTr="007B1FC8">
        <w:trPr>
          <w:trHeight w:val="270"/>
          <w:jc w:val="center"/>
        </w:trPr>
        <w:tc>
          <w:tcPr>
            <w:tcW w:w="8117" w:type="dxa"/>
            <w:gridSpan w:val="4"/>
            <w:tcBorders>
              <w:top w:val="nil"/>
              <w:left w:val="single" w:sz="6" w:space="0" w:color="63A6F7"/>
              <w:bottom w:val="single" w:sz="6" w:space="0" w:color="63A6F7"/>
              <w:right w:val="single" w:sz="6" w:space="0" w:color="63A6F7"/>
            </w:tcBorders>
            <w:shd w:val="clear" w:color="auto" w:fill="E8F2FE"/>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Acciones Compartidas</w:t>
            </w:r>
            <w:r w:rsidRPr="006B3B06">
              <w:rPr>
                <w:rFonts w:ascii="Garamond" w:eastAsia="Garamond" w:hAnsi="Garamond" w:cs="Garamond"/>
                <w:b/>
                <w:bCs/>
                <w:sz w:val="20"/>
                <w:szCs w:val="20"/>
                <w:lang w:val="es-CO" w:eastAsia="es-CO" w:bidi="ar-SA"/>
              </w:rPr>
              <w:t> </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Administrativa y Dirección de Contratación</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Contratación y Dirección de Tecnologías e Información</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tcPr>
          <w:p w:rsidR="004862D1" w:rsidRPr="006B3B06" w:rsidRDefault="004862D1" w:rsidP="007B1FC8">
            <w:pPr>
              <w:widowControl/>
              <w:autoSpaceDE/>
              <w:autoSpaceDN/>
              <w:textAlignment w:val="baseline"/>
              <w:rPr>
                <w:rFonts w:ascii="Garamond" w:eastAsia="Garamond" w:hAnsi="Garamond" w:cs="Garamond"/>
                <w:sz w:val="20"/>
                <w:szCs w:val="20"/>
                <w:lang w:eastAsia="es-CO" w:bidi="ar-SA"/>
              </w:rPr>
            </w:pPr>
            <w:r w:rsidRPr="006B3B06">
              <w:rPr>
                <w:rFonts w:ascii="Garamond" w:eastAsia="Garamond" w:hAnsi="Garamond" w:cs="Garamond"/>
                <w:sz w:val="20"/>
                <w:szCs w:val="20"/>
                <w:lang w:eastAsia="es-CO" w:bidi="ar-SA"/>
              </w:rPr>
              <w:t>Dirección de Gestión del Talento Humano y Dirección de Tecnologías e Información</w:t>
            </w:r>
          </w:p>
        </w:tc>
        <w:tc>
          <w:tcPr>
            <w:tcW w:w="1065" w:type="dxa"/>
            <w:tcBorders>
              <w:top w:val="nil"/>
              <w:left w:val="nil"/>
              <w:bottom w:val="single" w:sz="6" w:space="0" w:color="63A6F7"/>
              <w:right w:val="single" w:sz="6" w:space="0" w:color="63A6F7"/>
            </w:tcBorders>
            <w:shd w:val="clear" w:color="auto" w:fill="auto"/>
            <w:vAlign w:val="center"/>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p>
        </w:tc>
        <w:tc>
          <w:tcPr>
            <w:tcW w:w="1065" w:type="dxa"/>
            <w:tcBorders>
              <w:top w:val="nil"/>
              <w:left w:val="nil"/>
              <w:bottom w:val="single" w:sz="6" w:space="0" w:color="63A6F7"/>
              <w:right w:val="single" w:sz="6" w:space="0" w:color="63A6F7"/>
            </w:tcBorders>
            <w:shd w:val="clear" w:color="auto" w:fill="auto"/>
            <w:vAlign w:val="center"/>
          </w:tcPr>
          <w:p w:rsidR="004862D1" w:rsidRPr="006B3B06" w:rsidRDefault="004862D1" w:rsidP="007B1FC8">
            <w:pPr>
              <w:widowControl/>
              <w:autoSpaceDE/>
              <w:autoSpaceDN/>
              <w:jc w:val="center"/>
              <w:textAlignment w:val="baseline"/>
              <w:rPr>
                <w:rFonts w:ascii="Garamond" w:eastAsia="Garamond" w:hAnsi="Garamond" w:cs="Garamond"/>
                <w:sz w:val="20"/>
                <w:szCs w:val="20"/>
                <w:lang w:eastAsia="es-CO" w:bidi="ar-SA"/>
              </w:rPr>
            </w:pPr>
            <w:r w:rsidRPr="006B3B06">
              <w:rPr>
                <w:rFonts w:ascii="Garamond" w:eastAsia="Garamond" w:hAnsi="Garamond" w:cs="Garamond"/>
                <w:sz w:val="20"/>
                <w:szCs w:val="20"/>
                <w:lang w:eastAsia="es-CO" w:bidi="ar-SA"/>
              </w:rPr>
              <w:t>1</w:t>
            </w:r>
          </w:p>
        </w:tc>
        <w:tc>
          <w:tcPr>
            <w:tcW w:w="677" w:type="dxa"/>
            <w:tcBorders>
              <w:top w:val="nil"/>
              <w:left w:val="nil"/>
              <w:bottom w:val="single" w:sz="6" w:space="0" w:color="63A6F7"/>
              <w:right w:val="single" w:sz="6" w:space="0" w:color="63A6F7"/>
            </w:tcBorders>
            <w:shd w:val="clear" w:color="auto" w:fill="auto"/>
            <w:vAlign w:val="center"/>
          </w:tcPr>
          <w:p w:rsidR="004862D1" w:rsidRPr="006B3B06" w:rsidRDefault="004862D1" w:rsidP="007B1FC8">
            <w:pPr>
              <w:widowControl/>
              <w:autoSpaceDE/>
              <w:autoSpaceDN/>
              <w:jc w:val="center"/>
              <w:textAlignment w:val="baseline"/>
              <w:rPr>
                <w:rFonts w:ascii="Garamond" w:eastAsia="Garamond" w:hAnsi="Garamond" w:cs="Garamond"/>
                <w:sz w:val="20"/>
                <w:szCs w:val="20"/>
                <w:lang w:eastAsia="es-CO" w:bidi="ar-SA"/>
              </w:rPr>
            </w:pPr>
            <w:r w:rsidRPr="006B3B06">
              <w:rPr>
                <w:rFonts w:ascii="Garamond" w:eastAsia="Garamond" w:hAnsi="Garamond" w:cs="Garamond"/>
                <w:sz w:val="20"/>
                <w:szCs w:val="20"/>
                <w:lang w:eastAsia="es-CO" w:bidi="ar-SA"/>
              </w:rPr>
              <w:t>1</w:t>
            </w:r>
          </w:p>
        </w:tc>
      </w:tr>
      <w:tr w:rsidR="004862D1" w:rsidRPr="006B3B06" w:rsidTr="007B1FC8">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Total </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10</w:t>
            </w: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34</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44</w:t>
            </w:r>
            <w:r w:rsidRPr="006B3B06">
              <w:rPr>
                <w:rFonts w:ascii="Garamond" w:eastAsia="Garamond" w:hAnsi="Garamond" w:cs="Garamond"/>
                <w:sz w:val="20"/>
                <w:szCs w:val="20"/>
                <w:lang w:val="es-CO" w:eastAsia="es-CO" w:bidi="ar-SA"/>
              </w:rPr>
              <w:t> </w:t>
            </w:r>
          </w:p>
        </w:tc>
      </w:tr>
    </w:tbl>
    <w:p w:rsidR="004862D1" w:rsidRPr="006B3B06" w:rsidRDefault="004862D1" w:rsidP="004862D1">
      <w:pPr>
        <w:widowControl/>
        <w:autoSpaceDE/>
        <w:autoSpaceDN/>
        <w:jc w:val="center"/>
        <w:textAlignment w:val="baseline"/>
        <w:rPr>
          <w:rFonts w:ascii="Garamond" w:eastAsia="Garamond" w:hAnsi="Garamond" w:cs="Garamond"/>
          <w:sz w:val="14"/>
          <w:szCs w:val="14"/>
          <w:lang w:val="es-CO" w:eastAsia="es-CO" w:bidi="ar-SA"/>
        </w:rPr>
      </w:pPr>
      <w:r w:rsidRPr="006B3B06">
        <w:rPr>
          <w:rFonts w:ascii="Garamond" w:eastAsia="Garamond" w:hAnsi="Garamond" w:cs="Garamond"/>
          <w:b/>
          <w:sz w:val="18"/>
          <w:szCs w:val="18"/>
          <w:lang w:eastAsia="es-CO" w:bidi="ar-SA"/>
        </w:rPr>
        <w:t>Fuente:</w:t>
      </w:r>
      <w:r w:rsidRPr="006B3B06">
        <w:rPr>
          <w:rFonts w:ascii="Garamond" w:eastAsia="Garamond" w:hAnsi="Garamond" w:cs="Garamond"/>
          <w:sz w:val="18"/>
          <w:szCs w:val="18"/>
          <w:lang w:eastAsia="es-CO" w:bidi="ar-SA"/>
        </w:rPr>
        <w:t xml:space="preserve"> Elaboración propia con base en los informes emitidos por la Contraloría de Bogotá, D.C. para cada una de las auditorías</w:t>
      </w:r>
      <w:r w:rsidRPr="006B3B06">
        <w:rPr>
          <w:rFonts w:ascii="Garamond" w:eastAsia="Garamond" w:hAnsi="Garamond" w:cs="Garamond"/>
          <w:sz w:val="18"/>
          <w:szCs w:val="18"/>
          <w:lang w:val="es-CO" w:eastAsia="es-CO" w:bidi="ar-SA"/>
        </w:rPr>
        <w:t> </w:t>
      </w:r>
    </w:p>
    <w:p w:rsidR="004862D1" w:rsidRPr="006B3B06" w:rsidRDefault="004862D1" w:rsidP="004862D1">
      <w:pPr>
        <w:tabs>
          <w:tab w:val="left" w:pos="962"/>
        </w:tabs>
        <w:jc w:val="both"/>
        <w:rPr>
          <w:rFonts w:ascii="Garamond" w:eastAsia="Garamond" w:hAnsi="Garamond" w:cs="Garamond"/>
          <w:lang w:val="es-CO"/>
        </w:rPr>
      </w:pPr>
    </w:p>
    <w:p w:rsidR="004862D1" w:rsidRPr="006B3B06" w:rsidRDefault="004862D1" w:rsidP="004862D1">
      <w:pPr>
        <w:tabs>
          <w:tab w:val="left" w:pos="962"/>
        </w:tabs>
        <w:jc w:val="both"/>
        <w:rPr>
          <w:rFonts w:ascii="Garamond" w:eastAsia="Garamond" w:hAnsi="Garamond" w:cs="Garamond"/>
          <w:lang w:val="es-CO"/>
        </w:rPr>
      </w:pPr>
      <w:r w:rsidRPr="006B3B06">
        <w:rPr>
          <w:rFonts w:ascii="Garamond" w:eastAsia="Garamond" w:hAnsi="Garamond" w:cs="Garamond"/>
        </w:rPr>
        <w:t>Para complementar esta información, el número de hallazgos en estado abierto corresponden a 9 hallazgos de la vigencia 2018 y 33 hallazgos de la vigencia 2019 para un total de </w:t>
      </w:r>
      <w:r w:rsidRPr="006B3B06">
        <w:rPr>
          <w:rFonts w:ascii="Garamond" w:eastAsia="Garamond" w:hAnsi="Garamond" w:cs="Garamond"/>
          <w:b/>
          <w:bCs/>
        </w:rPr>
        <w:t>42</w:t>
      </w:r>
      <w:r w:rsidRPr="006B3B06">
        <w:rPr>
          <w:rFonts w:ascii="Garamond" w:eastAsia="Garamond" w:hAnsi="Garamond" w:cs="Garamond"/>
        </w:rPr>
        <w:t> hallazgos. Cada hallazgo tiene entre una a dos acciones correctivas cuya ejecución se dirige a la subsanación de las causas que los generaron.</w:t>
      </w:r>
      <w:r w:rsidRPr="006B3B06">
        <w:rPr>
          <w:rFonts w:ascii="Garamond" w:eastAsia="Garamond" w:hAnsi="Garamond" w:cs="Garamond"/>
          <w:lang w:val="es-CO"/>
        </w:rPr>
        <w:t> </w:t>
      </w:r>
    </w:p>
    <w:p w:rsidR="004862D1" w:rsidRPr="006B3B06" w:rsidRDefault="004862D1" w:rsidP="004862D1">
      <w:pPr>
        <w:tabs>
          <w:tab w:val="left" w:pos="962"/>
        </w:tabs>
        <w:jc w:val="both"/>
        <w:rPr>
          <w:rFonts w:ascii="Garamond" w:eastAsia="Garamond" w:hAnsi="Garamond" w:cs="Garamond"/>
          <w:lang w:val="es-CO"/>
        </w:rPr>
      </w:pPr>
      <w:r w:rsidRPr="006B3B06">
        <w:rPr>
          <w:rFonts w:ascii="Garamond" w:eastAsia="Garamond" w:hAnsi="Garamond" w:cs="Garamond"/>
          <w:lang w:val="es-CO"/>
        </w:rPr>
        <w:t> </w:t>
      </w:r>
    </w:p>
    <w:p w:rsidR="004862D1" w:rsidRPr="006B3B06" w:rsidRDefault="004862D1" w:rsidP="004862D1">
      <w:pPr>
        <w:tabs>
          <w:tab w:val="left" w:pos="962"/>
        </w:tabs>
        <w:jc w:val="both"/>
        <w:rPr>
          <w:rFonts w:ascii="Garamond" w:eastAsia="Garamond" w:hAnsi="Garamond" w:cs="Garamond"/>
          <w:lang w:val="es-CO"/>
        </w:rPr>
      </w:pPr>
      <w:r w:rsidRPr="006B3B06">
        <w:rPr>
          <w:rFonts w:ascii="Garamond" w:eastAsia="Garamond" w:hAnsi="Garamond" w:cs="Garamond"/>
        </w:rPr>
        <w:t xml:space="preserve">Ahora bien, una vez realizado el seguimiento por la Subsecretaría de Gestión Institucional sobre el </w:t>
      </w:r>
      <w:r w:rsidRPr="006B3B06">
        <w:rPr>
          <w:rFonts w:ascii="Garamond" w:eastAsia="Garamond" w:hAnsi="Garamond" w:cs="Garamond"/>
        </w:rPr>
        <w:lastRenderedPageBreak/>
        <w:t>cumplimiento de las acciones de este plan con corte al 30 de noviembre se hace entrega de los siguientes resultados:</w:t>
      </w:r>
      <w:r w:rsidRPr="006B3B06">
        <w:rPr>
          <w:rFonts w:ascii="Garamond" w:eastAsia="Garamond" w:hAnsi="Garamond" w:cs="Garamond"/>
          <w:lang w:val="es-CO"/>
        </w:rPr>
        <w:t> </w:t>
      </w:r>
    </w:p>
    <w:p w:rsidR="004862D1" w:rsidRPr="006B3B06" w:rsidRDefault="004862D1" w:rsidP="004862D1">
      <w:pPr>
        <w:pStyle w:val="Descripcin"/>
        <w:keepNext/>
        <w:rPr>
          <w:rFonts w:ascii="Garamond" w:hAnsi="Garamond"/>
        </w:rPr>
      </w:pPr>
    </w:p>
    <w:p w:rsidR="004862D1" w:rsidRPr="006B3B06" w:rsidRDefault="004862D1" w:rsidP="004862D1">
      <w:pPr>
        <w:pStyle w:val="Descripcin"/>
        <w:keepNext/>
        <w:spacing w:after="0"/>
        <w:jc w:val="center"/>
        <w:rPr>
          <w:rFonts w:ascii="Garamond" w:hAnsi="Garamond"/>
        </w:rPr>
      </w:pPr>
      <w:bookmarkStart w:id="9" w:name="_Toc28963751"/>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Pr>
          <w:rFonts w:ascii="Garamond" w:hAnsi="Garamond"/>
          <w:noProof/>
        </w:rPr>
        <w:t>35</w:t>
      </w:r>
      <w:r w:rsidRPr="006B3B06">
        <w:rPr>
          <w:rFonts w:ascii="Garamond" w:hAnsi="Garamond"/>
        </w:rPr>
        <w:fldChar w:fldCharType="end"/>
      </w:r>
      <w:r w:rsidRPr="006B3B06">
        <w:rPr>
          <w:rFonts w:ascii="Garamond" w:hAnsi="Garamond"/>
        </w:rPr>
        <w:t xml:space="preserve"> Seguimiento al cumplimiento del Plan de Mejoramiento por dependencia (30 de noviembre de 2019)</w:t>
      </w:r>
      <w:bookmarkEnd w:id="9"/>
    </w:p>
    <w:tbl>
      <w:tblPr>
        <w:tblW w:w="816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9"/>
        <w:gridCol w:w="1299"/>
        <w:gridCol w:w="947"/>
        <w:gridCol w:w="1331"/>
        <w:gridCol w:w="1896"/>
      </w:tblGrid>
      <w:tr w:rsidR="004862D1" w:rsidRPr="006B3B06" w:rsidTr="007B1FC8">
        <w:trPr>
          <w:trHeight w:val="360"/>
          <w:tblHeader/>
          <w:jc w:val="center"/>
        </w:trPr>
        <w:tc>
          <w:tcPr>
            <w:tcW w:w="2689" w:type="dxa"/>
            <w:tcBorders>
              <w:top w:val="single" w:sz="6" w:space="0" w:color="63A6F7"/>
              <w:left w:val="single" w:sz="6" w:space="0" w:color="63A6F7"/>
              <w:bottom w:val="single" w:sz="12" w:space="0" w:color="167AF3"/>
              <w:right w:val="single" w:sz="6" w:space="0" w:color="63A6F7"/>
            </w:tcBorders>
            <w:shd w:val="clear" w:color="auto" w:fill="auto"/>
            <w:vAlign w:val="center"/>
            <w:hideMark/>
          </w:tcPr>
          <w:p w:rsidR="004862D1" w:rsidRPr="006B3B06" w:rsidRDefault="004862D1" w:rsidP="007B1FC8">
            <w:pPr>
              <w:widowControl/>
              <w:autoSpaceDE/>
              <w:autoSpaceDN/>
              <w:jc w:val="both"/>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Dependencia</w:t>
            </w:r>
            <w:r w:rsidRPr="006B3B06">
              <w:rPr>
                <w:rFonts w:ascii="Garamond" w:eastAsia="Garamond" w:hAnsi="Garamond" w:cs="Garamond"/>
                <w:b/>
                <w:bCs/>
                <w:sz w:val="20"/>
                <w:szCs w:val="20"/>
                <w:lang w:val="es-CO" w:eastAsia="es-CO" w:bidi="ar-SA"/>
              </w:rPr>
              <w:t> </w:t>
            </w:r>
          </w:p>
        </w:tc>
        <w:tc>
          <w:tcPr>
            <w:tcW w:w="1299" w:type="dxa"/>
            <w:tcBorders>
              <w:top w:val="single" w:sz="6" w:space="0" w:color="63A6F7"/>
              <w:left w:val="nil"/>
              <w:bottom w:val="single" w:sz="12" w:space="0" w:color="167AF3"/>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Total acciones</w:t>
            </w:r>
            <w:r w:rsidRPr="006B3B06">
              <w:rPr>
                <w:rFonts w:ascii="Garamond" w:eastAsia="Garamond" w:hAnsi="Garamond" w:cs="Garamond"/>
                <w:b/>
                <w:bCs/>
                <w:sz w:val="20"/>
                <w:szCs w:val="20"/>
                <w:lang w:val="es-CO" w:eastAsia="es-CO" w:bidi="ar-SA"/>
              </w:rPr>
              <w:t> </w:t>
            </w:r>
          </w:p>
        </w:tc>
        <w:tc>
          <w:tcPr>
            <w:tcW w:w="947" w:type="dxa"/>
            <w:tcBorders>
              <w:top w:val="single" w:sz="6" w:space="0" w:color="63A6F7"/>
              <w:left w:val="nil"/>
              <w:bottom w:val="single" w:sz="12" w:space="0" w:color="167AF3"/>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Acciones cumplidas</w:t>
            </w:r>
            <w:r w:rsidRPr="006B3B06">
              <w:rPr>
                <w:rFonts w:ascii="Garamond" w:eastAsia="Garamond" w:hAnsi="Garamond" w:cs="Garamond"/>
                <w:b/>
                <w:bCs/>
                <w:sz w:val="20"/>
                <w:szCs w:val="20"/>
                <w:lang w:val="es-CO" w:eastAsia="es-CO" w:bidi="ar-SA"/>
              </w:rPr>
              <w:t> </w:t>
            </w:r>
          </w:p>
        </w:tc>
        <w:tc>
          <w:tcPr>
            <w:tcW w:w="1331" w:type="dxa"/>
            <w:tcBorders>
              <w:top w:val="single" w:sz="6" w:space="0" w:color="63A6F7"/>
              <w:left w:val="nil"/>
              <w:bottom w:val="single" w:sz="12" w:space="0" w:color="167AF3"/>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Acciones por cumplir</w:t>
            </w:r>
            <w:r w:rsidRPr="006B3B06">
              <w:rPr>
                <w:rFonts w:ascii="Garamond" w:eastAsia="Garamond" w:hAnsi="Garamond" w:cs="Garamond"/>
                <w:b/>
                <w:bCs/>
                <w:sz w:val="20"/>
                <w:szCs w:val="20"/>
                <w:lang w:val="es-CO" w:eastAsia="es-CO" w:bidi="ar-SA"/>
              </w:rPr>
              <w:t> </w:t>
            </w:r>
          </w:p>
        </w:tc>
        <w:tc>
          <w:tcPr>
            <w:tcW w:w="1896" w:type="dxa"/>
            <w:tcBorders>
              <w:top w:val="single" w:sz="6" w:space="0" w:color="63A6F7"/>
              <w:left w:val="nil"/>
              <w:bottom w:val="single" w:sz="12" w:space="0" w:color="167AF3"/>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Promedio cumplimiento acciones</w:t>
            </w:r>
            <w:r w:rsidRPr="006B3B06">
              <w:rPr>
                <w:rFonts w:ascii="Garamond" w:eastAsia="Garamond" w:hAnsi="Garamond" w:cs="Garamond"/>
                <w:b/>
                <w:bCs/>
                <w:sz w:val="20"/>
                <w:szCs w:val="20"/>
                <w:lang w:val="es-CO" w:eastAsia="es-CO" w:bidi="ar-SA"/>
              </w:rPr>
              <w:t> </w:t>
            </w:r>
          </w:p>
        </w:tc>
      </w:tr>
      <w:tr w:rsidR="004862D1" w:rsidRPr="006B3B06" w:rsidTr="007B1FC8">
        <w:trPr>
          <w:trHeight w:val="9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Oficina Asesora de Planeación</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20,2%</w:t>
            </w:r>
            <w:r w:rsidRPr="006B3B06">
              <w:rPr>
                <w:rFonts w:ascii="Garamond" w:eastAsia="Garamond" w:hAnsi="Garamond" w:cs="Garamond"/>
                <w:sz w:val="20"/>
                <w:szCs w:val="20"/>
                <w:lang w:val="es-CO" w:eastAsia="es-CO" w:bidi="ar-SA"/>
              </w:rPr>
              <w:t> </w:t>
            </w:r>
          </w:p>
        </w:tc>
      </w:tr>
      <w:tr w:rsidR="004862D1" w:rsidRPr="006B3B06" w:rsidTr="007B1FC8">
        <w:trPr>
          <w:trHeight w:val="9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Derechos Humanos</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100,0%</w:t>
            </w:r>
            <w:r w:rsidRPr="006B3B06">
              <w:rPr>
                <w:rFonts w:ascii="Garamond" w:eastAsia="Garamond" w:hAnsi="Garamond" w:cs="Garamond"/>
                <w:sz w:val="20"/>
                <w:szCs w:val="20"/>
                <w:lang w:val="es-CO" w:eastAsia="es-CO" w:bidi="ar-SA"/>
              </w:rPr>
              <w:t> </w:t>
            </w:r>
          </w:p>
        </w:tc>
      </w:tr>
      <w:tr w:rsidR="004862D1" w:rsidRPr="006B3B06" w:rsidTr="007B1FC8">
        <w:trPr>
          <w:trHeight w:val="18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Financiera</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4</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37,5%</w:t>
            </w:r>
            <w:r w:rsidRPr="006B3B06">
              <w:rPr>
                <w:rFonts w:ascii="Garamond" w:eastAsia="Garamond" w:hAnsi="Garamond" w:cs="Garamond"/>
                <w:sz w:val="20"/>
                <w:szCs w:val="20"/>
                <w:lang w:val="es-CO" w:eastAsia="es-CO" w:bidi="ar-SA"/>
              </w:rPr>
              <w:t> </w:t>
            </w:r>
          </w:p>
        </w:tc>
      </w:tr>
      <w:tr w:rsidR="004862D1" w:rsidRPr="006B3B06" w:rsidTr="007B1FC8">
        <w:trPr>
          <w:trHeight w:val="15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Contratación</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15</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46,8%</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Subsecretaría de Gestión Institucional</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2</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66,7%</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Administrativa</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4</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2</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2</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50,0%</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Tecnologías e Información</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100,0%</w:t>
            </w:r>
            <w:r w:rsidRPr="006B3B06">
              <w:rPr>
                <w:rFonts w:ascii="Garamond" w:eastAsia="Garamond" w:hAnsi="Garamond" w:cs="Garamond"/>
                <w:sz w:val="20"/>
                <w:szCs w:val="20"/>
                <w:lang w:val="es-CO" w:eastAsia="es-CO" w:bidi="ar-SA"/>
              </w:rPr>
              <w:t> </w:t>
            </w:r>
          </w:p>
        </w:tc>
      </w:tr>
      <w:tr w:rsidR="004862D1" w:rsidRPr="006B3B06" w:rsidTr="007B1FC8">
        <w:trPr>
          <w:trHeight w:val="27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Subsecretaría para la Gobernabilidad y la Garantía de Derechos</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100,0%</w:t>
            </w:r>
            <w:r w:rsidRPr="006B3B06">
              <w:rPr>
                <w:rFonts w:ascii="Garamond" w:eastAsia="Garamond" w:hAnsi="Garamond" w:cs="Garamond"/>
                <w:sz w:val="20"/>
                <w:szCs w:val="20"/>
                <w:lang w:val="es-CO" w:eastAsia="es-CO" w:bidi="ar-SA"/>
              </w:rPr>
              <w:t> </w:t>
            </w:r>
          </w:p>
        </w:tc>
      </w:tr>
      <w:tr w:rsidR="004862D1" w:rsidRPr="006B3B06" w:rsidTr="007B1FC8">
        <w:trPr>
          <w:trHeight w:val="195"/>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Oficina Asesora de Comunicaciones</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100,0%</w:t>
            </w:r>
            <w:r w:rsidRPr="006B3B06">
              <w:rPr>
                <w:rFonts w:ascii="Garamond" w:eastAsia="Garamond" w:hAnsi="Garamond" w:cs="Garamond"/>
                <w:sz w:val="20"/>
                <w:szCs w:val="20"/>
                <w:lang w:val="es-CO" w:eastAsia="es-CO" w:bidi="ar-SA"/>
              </w:rPr>
              <w:t> </w:t>
            </w:r>
          </w:p>
        </w:tc>
      </w:tr>
      <w:tr w:rsidR="004862D1" w:rsidRPr="006B3B06" w:rsidTr="007B1FC8">
        <w:trPr>
          <w:trHeight w:val="18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Jurídica</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42,9%</w:t>
            </w:r>
            <w:r w:rsidRPr="006B3B06">
              <w:rPr>
                <w:rFonts w:ascii="Garamond" w:eastAsia="Garamond" w:hAnsi="Garamond" w:cs="Garamond"/>
                <w:sz w:val="20"/>
                <w:szCs w:val="20"/>
                <w:lang w:val="es-CO" w:eastAsia="es-CO" w:bidi="ar-SA"/>
              </w:rPr>
              <w:t> </w:t>
            </w:r>
          </w:p>
        </w:tc>
      </w:tr>
      <w:tr w:rsidR="004862D1" w:rsidRPr="006B3B06" w:rsidTr="007B1FC8">
        <w:trPr>
          <w:trHeight w:val="18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Gestión del Talento Humano</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0,0%</w:t>
            </w:r>
            <w:r w:rsidRPr="006B3B06">
              <w:rPr>
                <w:rFonts w:ascii="Garamond" w:eastAsia="Garamond" w:hAnsi="Garamond" w:cs="Garamond"/>
                <w:sz w:val="20"/>
                <w:szCs w:val="20"/>
                <w:lang w:val="es-CO" w:eastAsia="es-CO" w:bidi="ar-SA"/>
              </w:rPr>
              <w:t> </w:t>
            </w:r>
          </w:p>
        </w:tc>
      </w:tr>
      <w:tr w:rsidR="004862D1" w:rsidRPr="006B3B06" w:rsidTr="007B1FC8">
        <w:trPr>
          <w:trHeight w:val="225"/>
          <w:jc w:val="center"/>
        </w:trPr>
        <w:tc>
          <w:tcPr>
            <w:tcW w:w="2689" w:type="dxa"/>
            <w:tcBorders>
              <w:top w:val="nil"/>
              <w:left w:val="single" w:sz="6" w:space="0" w:color="63A6F7"/>
              <w:bottom w:val="single" w:sz="6" w:space="0" w:color="63A6F7"/>
              <w:right w:val="single" w:sz="6" w:space="0" w:color="63A6F7"/>
            </w:tcBorders>
            <w:shd w:val="clear" w:color="auto" w:fill="E8F2FE"/>
            <w:vAlign w:val="center"/>
            <w:hideMark/>
          </w:tcPr>
          <w:p w:rsidR="004862D1" w:rsidRPr="006B3B06" w:rsidRDefault="004862D1" w:rsidP="007B1FC8">
            <w:pPr>
              <w:widowControl/>
              <w:autoSpaceDE/>
              <w:autoSpaceDN/>
              <w:jc w:val="both"/>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Subtotal 1</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E8F2FE"/>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39</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E8F2FE"/>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12</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E8F2FE"/>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27</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E8F2FE"/>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r>
      <w:tr w:rsidR="004862D1" w:rsidRPr="006B3B06" w:rsidTr="007B1FC8">
        <w:trPr>
          <w:trHeight w:val="225"/>
          <w:jc w:val="center"/>
        </w:trPr>
        <w:tc>
          <w:tcPr>
            <w:tcW w:w="8162" w:type="dxa"/>
            <w:gridSpan w:val="5"/>
            <w:tcBorders>
              <w:top w:val="single" w:sz="12" w:space="0" w:color="167AF3"/>
              <w:left w:val="single" w:sz="6" w:space="0" w:color="63A6F7"/>
              <w:bottom w:val="single" w:sz="12" w:space="0" w:color="167AF3"/>
              <w:right w:val="single" w:sz="6" w:space="0" w:color="63A6F7"/>
            </w:tcBorders>
            <w:shd w:val="clear" w:color="auto" w:fill="E8F2FE"/>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Acciones compartidas</w:t>
            </w:r>
            <w:r w:rsidRPr="006B3B06">
              <w:rPr>
                <w:rFonts w:ascii="Garamond" w:eastAsia="Garamond" w:hAnsi="Garamond" w:cs="Garamond"/>
                <w:b/>
                <w:bCs/>
                <w:sz w:val="20"/>
                <w:szCs w:val="20"/>
                <w:lang w:val="es-CO" w:eastAsia="es-CO" w:bidi="ar-SA"/>
              </w:rPr>
              <w:t> </w:t>
            </w:r>
          </w:p>
        </w:tc>
      </w:tr>
      <w:tr w:rsidR="004862D1" w:rsidRPr="006B3B06" w:rsidTr="007B1FC8">
        <w:trPr>
          <w:trHeight w:val="90"/>
          <w:jc w:val="center"/>
        </w:trPr>
        <w:tc>
          <w:tcPr>
            <w:tcW w:w="2689" w:type="dxa"/>
            <w:tcBorders>
              <w:top w:val="single" w:sz="12" w:space="0" w:color="167AF3"/>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Administrativa y Dirección de Contratación </w:t>
            </w:r>
            <w:r w:rsidRPr="006B3B06">
              <w:rPr>
                <w:rFonts w:ascii="Garamond" w:eastAsia="Garamond" w:hAnsi="Garamond" w:cs="Garamond"/>
                <w:b/>
                <w:bCs/>
                <w:sz w:val="20"/>
                <w:szCs w:val="20"/>
                <w:lang w:val="es-CO" w:eastAsia="es-CO" w:bidi="ar-SA"/>
              </w:rPr>
              <w:t> </w:t>
            </w:r>
          </w:p>
        </w:tc>
        <w:tc>
          <w:tcPr>
            <w:tcW w:w="1299" w:type="dxa"/>
            <w:tcBorders>
              <w:top w:val="single" w:sz="12" w:space="0" w:color="167AF3"/>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947" w:type="dxa"/>
            <w:tcBorders>
              <w:top w:val="single" w:sz="12" w:space="0" w:color="167AF3"/>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1331" w:type="dxa"/>
            <w:tcBorders>
              <w:top w:val="single" w:sz="12" w:space="0" w:color="167AF3"/>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896" w:type="dxa"/>
            <w:tcBorders>
              <w:top w:val="single" w:sz="12" w:space="0" w:color="167AF3"/>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100,0%</w:t>
            </w:r>
            <w:r w:rsidRPr="006B3B06">
              <w:rPr>
                <w:rFonts w:ascii="Garamond" w:eastAsia="Garamond" w:hAnsi="Garamond" w:cs="Garamond"/>
                <w:sz w:val="20"/>
                <w:szCs w:val="20"/>
                <w:lang w:val="es-CO" w:eastAsia="es-CO" w:bidi="ar-SA"/>
              </w:rPr>
              <w:t> </w:t>
            </w:r>
          </w:p>
        </w:tc>
      </w:tr>
      <w:tr w:rsidR="004862D1" w:rsidRPr="006B3B06" w:rsidTr="007B1FC8">
        <w:trPr>
          <w:trHeight w:val="9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Contratación y Dirección de Tecnologías e Información</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0,0%</w:t>
            </w:r>
            <w:r w:rsidRPr="006B3B06">
              <w:rPr>
                <w:rFonts w:ascii="Garamond" w:eastAsia="Garamond" w:hAnsi="Garamond" w:cs="Garamond"/>
                <w:sz w:val="20"/>
                <w:szCs w:val="20"/>
                <w:lang w:val="es-CO" w:eastAsia="es-CO" w:bidi="ar-SA"/>
              </w:rPr>
              <w:t> </w:t>
            </w:r>
          </w:p>
        </w:tc>
      </w:tr>
      <w:tr w:rsidR="004862D1" w:rsidRPr="006B3B06" w:rsidTr="007B1FC8">
        <w:trPr>
          <w:trHeight w:val="9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Gestión del Talento Humano y Dirección de Tecnologías e Información</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0,0%</w:t>
            </w:r>
            <w:r w:rsidRPr="006B3B06">
              <w:rPr>
                <w:rFonts w:ascii="Garamond" w:eastAsia="Garamond" w:hAnsi="Garamond" w:cs="Garamond"/>
                <w:sz w:val="20"/>
                <w:szCs w:val="20"/>
                <w:lang w:val="es-CO" w:eastAsia="es-CO" w:bidi="ar-SA"/>
              </w:rPr>
              <w:t> </w:t>
            </w:r>
          </w:p>
        </w:tc>
      </w:tr>
      <w:tr w:rsidR="004862D1" w:rsidRPr="006B3B06" w:rsidTr="007B1FC8">
        <w:trPr>
          <w:trHeight w:val="225"/>
          <w:jc w:val="center"/>
        </w:trPr>
        <w:tc>
          <w:tcPr>
            <w:tcW w:w="2689" w:type="dxa"/>
            <w:tcBorders>
              <w:top w:val="nil"/>
              <w:left w:val="single" w:sz="6" w:space="0" w:color="63A6F7"/>
              <w:bottom w:val="single" w:sz="6" w:space="0" w:color="63A6F7"/>
              <w:right w:val="single" w:sz="6" w:space="0" w:color="63A6F7"/>
            </w:tcBorders>
            <w:shd w:val="clear" w:color="auto" w:fill="E8F2FE"/>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Subtotal 2</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E8F2FE"/>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5</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E8F2FE"/>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3</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E8F2FE"/>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2</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E8F2FE"/>
            <w:vAlign w:val="center"/>
            <w:hideMark/>
          </w:tcPr>
          <w:p w:rsidR="004862D1" w:rsidRPr="006B3B06" w:rsidRDefault="004862D1" w:rsidP="007B1FC8">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r>
      <w:tr w:rsidR="004862D1" w:rsidRPr="006B3B06" w:rsidTr="007B1FC8">
        <w:trPr>
          <w:trHeight w:val="225"/>
          <w:jc w:val="center"/>
        </w:trPr>
        <w:tc>
          <w:tcPr>
            <w:tcW w:w="2689" w:type="dxa"/>
            <w:tcBorders>
              <w:top w:val="double" w:sz="18" w:space="0" w:color="167AF3"/>
              <w:left w:val="single" w:sz="6" w:space="0" w:color="63A6F7"/>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Total </w:t>
            </w:r>
            <w:r w:rsidRPr="006B3B06">
              <w:rPr>
                <w:rFonts w:ascii="Garamond" w:eastAsia="Garamond" w:hAnsi="Garamond" w:cs="Garamond"/>
                <w:b/>
                <w:bCs/>
                <w:sz w:val="20"/>
                <w:szCs w:val="20"/>
                <w:lang w:val="es-CO" w:eastAsia="es-CO" w:bidi="ar-SA"/>
              </w:rPr>
              <w:t> </w:t>
            </w:r>
          </w:p>
        </w:tc>
        <w:tc>
          <w:tcPr>
            <w:tcW w:w="1299" w:type="dxa"/>
            <w:tcBorders>
              <w:top w:val="double" w:sz="18" w:space="0" w:color="167AF3"/>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44</w:t>
            </w:r>
            <w:r w:rsidRPr="006B3B06">
              <w:rPr>
                <w:rFonts w:ascii="Garamond" w:eastAsia="Garamond" w:hAnsi="Garamond" w:cs="Garamond"/>
                <w:b/>
                <w:bCs/>
                <w:sz w:val="20"/>
                <w:szCs w:val="20"/>
                <w:lang w:val="es-CO" w:eastAsia="es-CO" w:bidi="ar-SA"/>
              </w:rPr>
              <w:t> </w:t>
            </w:r>
          </w:p>
        </w:tc>
        <w:tc>
          <w:tcPr>
            <w:tcW w:w="947" w:type="dxa"/>
            <w:tcBorders>
              <w:top w:val="double" w:sz="18" w:space="0" w:color="167AF3"/>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15</w:t>
            </w:r>
            <w:r w:rsidRPr="006B3B06">
              <w:rPr>
                <w:rFonts w:ascii="Garamond" w:eastAsia="Garamond" w:hAnsi="Garamond" w:cs="Garamond"/>
                <w:b/>
                <w:bCs/>
                <w:sz w:val="20"/>
                <w:szCs w:val="20"/>
                <w:lang w:val="es-CO" w:eastAsia="es-CO" w:bidi="ar-SA"/>
              </w:rPr>
              <w:t> </w:t>
            </w:r>
          </w:p>
        </w:tc>
        <w:tc>
          <w:tcPr>
            <w:tcW w:w="1331" w:type="dxa"/>
            <w:tcBorders>
              <w:top w:val="double" w:sz="18" w:space="0" w:color="167AF3"/>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29</w:t>
            </w:r>
            <w:r w:rsidRPr="006B3B06">
              <w:rPr>
                <w:rFonts w:ascii="Garamond" w:eastAsia="Garamond" w:hAnsi="Garamond" w:cs="Garamond"/>
                <w:b/>
                <w:bCs/>
                <w:sz w:val="20"/>
                <w:szCs w:val="20"/>
                <w:lang w:val="es-CO" w:eastAsia="es-CO" w:bidi="ar-SA"/>
              </w:rPr>
              <w:t> </w:t>
            </w:r>
          </w:p>
        </w:tc>
        <w:tc>
          <w:tcPr>
            <w:tcW w:w="1896" w:type="dxa"/>
            <w:tcBorders>
              <w:top w:val="double" w:sz="18" w:space="0" w:color="167AF3"/>
              <w:left w:val="nil"/>
              <w:bottom w:val="single" w:sz="6" w:space="0" w:color="63A6F7"/>
              <w:right w:val="single" w:sz="6" w:space="0" w:color="63A6F7"/>
            </w:tcBorders>
            <w:shd w:val="clear" w:color="auto" w:fill="auto"/>
            <w:vAlign w:val="center"/>
            <w:hideMark/>
          </w:tcPr>
          <w:p w:rsidR="004862D1" w:rsidRPr="006B3B06" w:rsidRDefault="004862D1" w:rsidP="007B1FC8">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83,8%</w:t>
            </w:r>
            <w:r w:rsidRPr="006B3B06">
              <w:rPr>
                <w:rFonts w:ascii="Garamond" w:eastAsia="Garamond" w:hAnsi="Garamond" w:cs="Garamond"/>
                <w:b/>
                <w:bCs/>
                <w:sz w:val="20"/>
                <w:szCs w:val="20"/>
                <w:lang w:val="es-CO" w:eastAsia="es-CO" w:bidi="ar-SA"/>
              </w:rPr>
              <w:t> </w:t>
            </w:r>
          </w:p>
        </w:tc>
      </w:tr>
    </w:tbl>
    <w:p w:rsidR="004862D1" w:rsidRPr="006B3B06" w:rsidRDefault="004862D1" w:rsidP="004862D1">
      <w:pPr>
        <w:widowControl/>
        <w:autoSpaceDE/>
        <w:autoSpaceDN/>
        <w:jc w:val="center"/>
        <w:textAlignment w:val="baseline"/>
        <w:rPr>
          <w:rFonts w:ascii="Garamond" w:eastAsia="Garamond" w:hAnsi="Garamond" w:cs="Garamond"/>
          <w:sz w:val="16"/>
          <w:szCs w:val="16"/>
          <w:lang w:val="es-CO" w:eastAsia="es-CO" w:bidi="ar-SA"/>
        </w:rPr>
      </w:pPr>
      <w:r w:rsidRPr="006B3B06">
        <w:rPr>
          <w:rFonts w:ascii="Garamond" w:eastAsia="Garamond" w:hAnsi="Garamond" w:cs="Garamond"/>
          <w:b/>
          <w:sz w:val="20"/>
          <w:szCs w:val="20"/>
          <w:lang w:eastAsia="es-CO" w:bidi="ar-SA"/>
        </w:rPr>
        <w:t>Fuente</w:t>
      </w:r>
      <w:r w:rsidRPr="006B3B06">
        <w:rPr>
          <w:rFonts w:ascii="Garamond" w:eastAsia="Garamond" w:hAnsi="Garamond" w:cs="Garamond"/>
          <w:sz w:val="20"/>
          <w:szCs w:val="20"/>
          <w:lang w:eastAsia="es-CO" w:bidi="ar-SA"/>
        </w:rPr>
        <w:t>: Elaboración propia con base en el seguimiento efectuado por la Subsecretaría de Gestión Institucional</w:t>
      </w:r>
      <w:r w:rsidRPr="006B3B06">
        <w:rPr>
          <w:rFonts w:ascii="Garamond" w:eastAsia="Garamond" w:hAnsi="Garamond" w:cs="Garamond"/>
          <w:sz w:val="20"/>
          <w:szCs w:val="20"/>
          <w:lang w:val="es-CO" w:eastAsia="es-CO" w:bidi="ar-SA"/>
        </w:rPr>
        <w:t> </w:t>
      </w:r>
    </w:p>
    <w:p w:rsidR="004862D1" w:rsidRPr="006B3B06" w:rsidRDefault="004862D1" w:rsidP="004862D1">
      <w:pPr>
        <w:tabs>
          <w:tab w:val="left" w:pos="962"/>
        </w:tabs>
        <w:jc w:val="both"/>
        <w:rPr>
          <w:rFonts w:ascii="Garamond" w:eastAsia="Garamond" w:hAnsi="Garamond" w:cs="Garamond"/>
          <w:lang w:val="es-CO"/>
        </w:rPr>
      </w:pPr>
    </w:p>
    <w:p w:rsidR="00712EE8" w:rsidRPr="004862D1" w:rsidRDefault="004862D1" w:rsidP="004862D1">
      <w:pPr>
        <w:tabs>
          <w:tab w:val="left" w:pos="962"/>
        </w:tabs>
        <w:jc w:val="both"/>
        <w:rPr>
          <w:rFonts w:ascii="Garamond" w:eastAsia="Garamond" w:hAnsi="Garamond" w:cs="Garamond"/>
        </w:rPr>
      </w:pPr>
      <w:r w:rsidRPr="006B3B06">
        <w:rPr>
          <w:rFonts w:ascii="Garamond" w:eastAsia="Garamond" w:hAnsi="Garamond" w:cs="Garamond"/>
        </w:rPr>
        <w:t>En la tabla anterior se observa que con c</w:t>
      </w:r>
      <w:r w:rsidRPr="00972DA6">
        <w:rPr>
          <w:rFonts w:ascii="Garamond" w:eastAsia="Garamond" w:hAnsi="Garamond" w:cs="Garamond"/>
        </w:rPr>
        <w:t>orte al 30 de</w:t>
      </w:r>
      <w:r w:rsidRPr="006B3B06">
        <w:rPr>
          <w:rFonts w:ascii="Garamond" w:eastAsia="Garamond" w:hAnsi="Garamond" w:cs="Garamond"/>
        </w:rPr>
        <w:t> noviembre de 2019 ya hay 15 acciones con cumplimiento completo, esto representa el 34,1% del total de las acciones de mejoramiento que componen el Plan. En el seguimiento se incluye además el avance de las acciones en ejecución y con estos avances se concluye que el cumplimiento del plan está en 83,8%. Se precisa que los resultados de cumplimiento hacen parte del esquema de seguimiento gestionado por la Subsecretaría de Gestión Institucional, dependencia que se ha encargado de consolidar las evidencias y enviar alertas de ejecución a cada una de las dependencias responsables de cada acción; y, en todo caso, la eficacia y efectividad del plan está sujeta a la evaluación que realizará la Contraloría de Bogotá, D.C. en la siguiente auditoría de regularidad. </w:t>
      </w:r>
      <w:bookmarkStart w:id="10" w:name="_GoBack"/>
      <w:bookmarkEnd w:id="10"/>
    </w:p>
    <w:sectPr w:rsidR="00712EE8" w:rsidRPr="004862D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2669"/>
    <w:multiLevelType w:val="multilevel"/>
    <w:tmpl w:val="8AE28018"/>
    <w:lvl w:ilvl="0">
      <w:start w:val="3"/>
      <w:numFmt w:val="decimal"/>
      <w:lvlText w:val="%1"/>
      <w:lvlJc w:val="left"/>
      <w:pPr>
        <w:ind w:left="360" w:hanging="360"/>
      </w:pPr>
      <w:rPr>
        <w:rFonts w:eastAsia="Garamond" w:cs="Garamond" w:hint="default"/>
        <w:color w:val="2E5395"/>
      </w:rPr>
    </w:lvl>
    <w:lvl w:ilvl="1">
      <w:start w:val="2"/>
      <w:numFmt w:val="decimal"/>
      <w:lvlText w:val="%1.%2"/>
      <w:lvlJc w:val="left"/>
      <w:pPr>
        <w:ind w:left="360" w:hanging="360"/>
      </w:pPr>
      <w:rPr>
        <w:rFonts w:eastAsia="Garamond" w:cs="Garamond" w:hint="default"/>
        <w:color w:val="2E5395"/>
      </w:rPr>
    </w:lvl>
    <w:lvl w:ilvl="2">
      <w:start w:val="1"/>
      <w:numFmt w:val="decimal"/>
      <w:lvlText w:val="%1.%2.%3"/>
      <w:lvlJc w:val="left"/>
      <w:pPr>
        <w:ind w:left="720" w:hanging="720"/>
      </w:pPr>
      <w:rPr>
        <w:rFonts w:eastAsia="Garamond" w:cs="Garamond" w:hint="default"/>
        <w:color w:val="2E5395"/>
      </w:rPr>
    </w:lvl>
    <w:lvl w:ilvl="3">
      <w:start w:val="1"/>
      <w:numFmt w:val="decimal"/>
      <w:lvlText w:val="%1.%2.%3.%4"/>
      <w:lvlJc w:val="left"/>
      <w:pPr>
        <w:ind w:left="1080" w:hanging="1080"/>
      </w:pPr>
      <w:rPr>
        <w:rFonts w:eastAsia="Garamond" w:cs="Garamond" w:hint="default"/>
        <w:color w:val="2E5395"/>
      </w:rPr>
    </w:lvl>
    <w:lvl w:ilvl="4">
      <w:start w:val="1"/>
      <w:numFmt w:val="decimal"/>
      <w:lvlText w:val="%1.%2.%3.%4.%5"/>
      <w:lvlJc w:val="left"/>
      <w:pPr>
        <w:ind w:left="1080" w:hanging="1080"/>
      </w:pPr>
      <w:rPr>
        <w:rFonts w:eastAsia="Garamond" w:cs="Garamond" w:hint="default"/>
        <w:color w:val="2E5395"/>
      </w:rPr>
    </w:lvl>
    <w:lvl w:ilvl="5">
      <w:start w:val="1"/>
      <w:numFmt w:val="decimal"/>
      <w:lvlText w:val="%1.%2.%3.%4.%5.%6"/>
      <w:lvlJc w:val="left"/>
      <w:pPr>
        <w:ind w:left="1440" w:hanging="1440"/>
      </w:pPr>
      <w:rPr>
        <w:rFonts w:eastAsia="Garamond" w:cs="Garamond" w:hint="default"/>
        <w:color w:val="2E5395"/>
      </w:rPr>
    </w:lvl>
    <w:lvl w:ilvl="6">
      <w:start w:val="1"/>
      <w:numFmt w:val="decimal"/>
      <w:lvlText w:val="%1.%2.%3.%4.%5.%6.%7"/>
      <w:lvlJc w:val="left"/>
      <w:pPr>
        <w:ind w:left="1440" w:hanging="1440"/>
      </w:pPr>
      <w:rPr>
        <w:rFonts w:eastAsia="Garamond" w:cs="Garamond" w:hint="default"/>
        <w:color w:val="2E5395"/>
      </w:rPr>
    </w:lvl>
    <w:lvl w:ilvl="7">
      <w:start w:val="1"/>
      <w:numFmt w:val="decimal"/>
      <w:lvlText w:val="%1.%2.%3.%4.%5.%6.%7.%8"/>
      <w:lvlJc w:val="left"/>
      <w:pPr>
        <w:ind w:left="1800" w:hanging="1800"/>
      </w:pPr>
      <w:rPr>
        <w:rFonts w:eastAsia="Garamond" w:cs="Garamond" w:hint="default"/>
        <w:color w:val="2E5395"/>
      </w:rPr>
    </w:lvl>
    <w:lvl w:ilvl="8">
      <w:start w:val="1"/>
      <w:numFmt w:val="decimal"/>
      <w:lvlText w:val="%1.%2.%3.%4.%5.%6.%7.%8.%9"/>
      <w:lvlJc w:val="left"/>
      <w:pPr>
        <w:ind w:left="1800" w:hanging="1800"/>
      </w:pPr>
      <w:rPr>
        <w:rFonts w:eastAsia="Garamond" w:cs="Garamond" w:hint="default"/>
        <w:color w:val="2E5395"/>
      </w:rPr>
    </w:lvl>
  </w:abstractNum>
  <w:abstractNum w:abstractNumId="1" w15:restartNumberingAfterBreak="0">
    <w:nsid w:val="41E54251"/>
    <w:multiLevelType w:val="hybridMultilevel"/>
    <w:tmpl w:val="A9A0F0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2D1"/>
    <w:rsid w:val="001A65D0"/>
    <w:rsid w:val="002D44D2"/>
    <w:rsid w:val="004862D1"/>
    <w:rsid w:val="00A02CAE"/>
    <w:rsid w:val="00C64DA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4CACA"/>
  <w15:chartTrackingRefBased/>
  <w15:docId w15:val="{A70BED74-52DA-45D6-A6C5-ED170C391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62D1"/>
    <w:pPr>
      <w:widowControl w:val="0"/>
      <w:autoSpaceDE w:val="0"/>
      <w:autoSpaceDN w:val="0"/>
      <w:spacing w:after="0" w:line="240" w:lineRule="auto"/>
    </w:pPr>
    <w:rPr>
      <w:rFonts w:ascii="Times New Roman" w:eastAsia="Times New Roman" w:hAnsi="Times New Roman" w:cs="Times New Roman"/>
      <w:lang w:val="es-ES" w:eastAsia="es-ES" w:bidi="es-ES"/>
    </w:rPr>
  </w:style>
  <w:style w:type="paragraph" w:styleId="Ttulo2">
    <w:name w:val="heading 2"/>
    <w:basedOn w:val="Normal"/>
    <w:link w:val="Ttulo2Car"/>
    <w:uiPriority w:val="9"/>
    <w:unhideWhenUsed/>
    <w:qFormat/>
    <w:rsid w:val="004862D1"/>
    <w:pPr>
      <w:ind w:left="962" w:hanging="697"/>
      <w:outlineLvl w:val="1"/>
    </w:pPr>
    <w:rPr>
      <w:b/>
      <w:bCs/>
      <w:sz w:val="24"/>
      <w:szCs w:val="24"/>
    </w:rPr>
  </w:style>
  <w:style w:type="paragraph" w:styleId="Ttulo3">
    <w:name w:val="heading 3"/>
    <w:basedOn w:val="Normal"/>
    <w:link w:val="Ttulo3Car"/>
    <w:uiPriority w:val="9"/>
    <w:unhideWhenUsed/>
    <w:qFormat/>
    <w:rsid w:val="004862D1"/>
    <w:pPr>
      <w:ind w:left="242"/>
      <w:jc w:val="both"/>
      <w:outlineLvl w:val="2"/>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862D1"/>
    <w:rPr>
      <w:rFonts w:ascii="Times New Roman" w:eastAsia="Times New Roman" w:hAnsi="Times New Roman" w:cs="Times New Roman"/>
      <w:b/>
      <w:bCs/>
      <w:sz w:val="24"/>
      <w:szCs w:val="24"/>
      <w:lang w:val="es-ES" w:eastAsia="es-ES" w:bidi="es-ES"/>
    </w:rPr>
  </w:style>
  <w:style w:type="character" w:customStyle="1" w:styleId="Ttulo3Car">
    <w:name w:val="Título 3 Car"/>
    <w:basedOn w:val="Fuentedeprrafopredeter"/>
    <w:link w:val="Ttulo3"/>
    <w:uiPriority w:val="9"/>
    <w:rsid w:val="004862D1"/>
    <w:rPr>
      <w:rFonts w:ascii="Times New Roman" w:eastAsia="Times New Roman" w:hAnsi="Times New Roman" w:cs="Times New Roman"/>
      <w:sz w:val="24"/>
      <w:szCs w:val="24"/>
      <w:lang w:val="es-ES" w:eastAsia="es-ES" w:bidi="es-ES"/>
    </w:rPr>
  </w:style>
  <w:style w:type="paragraph" w:styleId="Prrafodelista">
    <w:name w:val="List Paragraph"/>
    <w:aliases w:val="Ha,LISTA,Párrafo de lista2,Resume Title,Bullet List,FooterText,numbered,List Paragraph1,Paragraphe de liste1,lp1,HOJA,Colorful List Accent 1,Colorful List - Accent 11,titulo 3,Lista vistosa - Énfasis 11,Bolita,BOLADEF,viñeta,Bullets,Foo"/>
    <w:basedOn w:val="Normal"/>
    <w:link w:val="PrrafodelistaCar"/>
    <w:uiPriority w:val="34"/>
    <w:qFormat/>
    <w:rsid w:val="004862D1"/>
    <w:pPr>
      <w:ind w:left="962" w:hanging="361"/>
      <w:jc w:val="both"/>
    </w:pPr>
  </w:style>
  <w:style w:type="table" w:styleId="Tablaconcuadrcula1clara-nfasis1">
    <w:name w:val="Grid Table 1 Light Accent 1"/>
    <w:basedOn w:val="Tablanormal"/>
    <w:uiPriority w:val="46"/>
    <w:rsid w:val="004862D1"/>
    <w:pPr>
      <w:widowControl w:val="0"/>
      <w:autoSpaceDE w:val="0"/>
      <w:autoSpaceDN w:val="0"/>
      <w:spacing w:after="0" w:line="240" w:lineRule="auto"/>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PrrafodelistaCar">
    <w:name w:val="Párrafo de lista Car"/>
    <w:aliases w:val="Ha Car,LISTA Car,Párrafo de lista2 Car,Resume Title Car,Bullet List Car,FooterText Car,numbered Car,List Paragraph1 Car,Paragraphe de liste1 Car,lp1 Car,HOJA Car,Colorful List Accent 1 Car,Colorful List - Accent 11 Car,titulo 3 Car"/>
    <w:link w:val="Prrafodelista"/>
    <w:uiPriority w:val="34"/>
    <w:qFormat/>
    <w:locked/>
    <w:rsid w:val="004862D1"/>
    <w:rPr>
      <w:rFonts w:ascii="Times New Roman" w:eastAsia="Times New Roman" w:hAnsi="Times New Roman" w:cs="Times New Roman"/>
      <w:lang w:val="es-ES" w:eastAsia="es-ES" w:bidi="es-ES"/>
    </w:rPr>
  </w:style>
  <w:style w:type="paragraph" w:styleId="Descripcin">
    <w:name w:val="caption"/>
    <w:basedOn w:val="Normal"/>
    <w:next w:val="Normal"/>
    <w:uiPriority w:val="35"/>
    <w:unhideWhenUsed/>
    <w:qFormat/>
    <w:rsid w:val="004862D1"/>
    <w:pPr>
      <w:widowControl/>
      <w:autoSpaceDE/>
      <w:autoSpaceDN/>
      <w:spacing w:after="200"/>
    </w:pPr>
    <w:rPr>
      <w:rFonts w:asciiTheme="minorHAnsi" w:eastAsiaTheme="minorHAnsi" w:hAnsiTheme="minorHAnsi" w:cstheme="minorBidi"/>
      <w:i/>
      <w:iCs/>
      <w:color w:val="44546A" w:themeColor="text2"/>
      <w:sz w:val="18"/>
      <w:szCs w:val="18"/>
      <w:lang w:val="es-CO" w:eastAsia="en-US" w:bidi="ar-SA"/>
    </w:rPr>
  </w:style>
  <w:style w:type="paragraph" w:customStyle="1" w:styleId="paragraph">
    <w:name w:val="paragraph"/>
    <w:basedOn w:val="Normal"/>
    <w:rsid w:val="004862D1"/>
    <w:pPr>
      <w:widowControl/>
      <w:autoSpaceDE/>
      <w:autoSpaceDN/>
      <w:spacing w:before="100" w:beforeAutospacing="1" w:after="100" w:afterAutospacing="1"/>
    </w:pPr>
    <w:rPr>
      <w:sz w:val="24"/>
      <w:szCs w:val="24"/>
      <w:lang w:val="es-CO" w:eastAsia="es-CO" w:bidi="ar-SA"/>
    </w:rPr>
  </w:style>
  <w:style w:type="character" w:customStyle="1" w:styleId="normaltextrun">
    <w:name w:val="normaltextrun"/>
    <w:basedOn w:val="Fuentedeprrafopredeter"/>
    <w:rsid w:val="004862D1"/>
  </w:style>
  <w:style w:type="character" w:customStyle="1" w:styleId="eop">
    <w:name w:val="eop"/>
    <w:basedOn w:val="Fuentedeprrafopredeter"/>
    <w:rsid w:val="00486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0051616">
      <w:bodyDiv w:val="1"/>
      <w:marLeft w:val="0"/>
      <w:marRight w:val="0"/>
      <w:marTop w:val="0"/>
      <w:marBottom w:val="0"/>
      <w:divBdr>
        <w:top w:val="none" w:sz="0" w:space="0" w:color="auto"/>
        <w:left w:val="none" w:sz="0" w:space="0" w:color="auto"/>
        <w:bottom w:val="none" w:sz="0" w:space="0" w:color="auto"/>
        <w:right w:val="none" w:sz="0" w:space="0" w:color="auto"/>
      </w:divBdr>
      <w:divsChild>
        <w:div w:id="1600333123">
          <w:marLeft w:val="0"/>
          <w:marRight w:val="0"/>
          <w:marTop w:val="0"/>
          <w:marBottom w:val="0"/>
          <w:divBdr>
            <w:top w:val="none" w:sz="0" w:space="0" w:color="auto"/>
            <w:left w:val="none" w:sz="0" w:space="0" w:color="auto"/>
            <w:bottom w:val="none" w:sz="0" w:space="0" w:color="auto"/>
            <w:right w:val="none" w:sz="0" w:space="0" w:color="auto"/>
          </w:divBdr>
        </w:div>
        <w:div w:id="413287832">
          <w:marLeft w:val="0"/>
          <w:marRight w:val="0"/>
          <w:marTop w:val="0"/>
          <w:marBottom w:val="0"/>
          <w:divBdr>
            <w:top w:val="none" w:sz="0" w:space="0" w:color="auto"/>
            <w:left w:val="none" w:sz="0" w:space="0" w:color="auto"/>
            <w:bottom w:val="none" w:sz="0" w:space="0" w:color="auto"/>
            <w:right w:val="none" w:sz="0" w:space="0" w:color="auto"/>
          </w:divBdr>
        </w:div>
        <w:div w:id="1805661530">
          <w:marLeft w:val="0"/>
          <w:marRight w:val="0"/>
          <w:marTop w:val="0"/>
          <w:marBottom w:val="0"/>
          <w:divBdr>
            <w:top w:val="none" w:sz="0" w:space="0" w:color="auto"/>
            <w:left w:val="none" w:sz="0" w:space="0" w:color="auto"/>
            <w:bottom w:val="none" w:sz="0" w:space="0" w:color="auto"/>
            <w:right w:val="none" w:sz="0" w:space="0" w:color="auto"/>
          </w:divBdr>
        </w:div>
        <w:div w:id="1539315203">
          <w:marLeft w:val="0"/>
          <w:marRight w:val="0"/>
          <w:marTop w:val="0"/>
          <w:marBottom w:val="0"/>
          <w:divBdr>
            <w:top w:val="none" w:sz="0" w:space="0" w:color="auto"/>
            <w:left w:val="none" w:sz="0" w:space="0" w:color="auto"/>
            <w:bottom w:val="none" w:sz="0" w:space="0" w:color="auto"/>
            <w:right w:val="none" w:sz="0" w:space="0" w:color="auto"/>
          </w:divBdr>
        </w:div>
        <w:div w:id="109318939">
          <w:marLeft w:val="0"/>
          <w:marRight w:val="0"/>
          <w:marTop w:val="0"/>
          <w:marBottom w:val="0"/>
          <w:divBdr>
            <w:top w:val="none" w:sz="0" w:space="0" w:color="auto"/>
            <w:left w:val="none" w:sz="0" w:space="0" w:color="auto"/>
            <w:bottom w:val="none" w:sz="0" w:space="0" w:color="auto"/>
            <w:right w:val="none" w:sz="0" w:space="0" w:color="auto"/>
          </w:divBdr>
        </w:div>
        <w:div w:id="201331529">
          <w:marLeft w:val="0"/>
          <w:marRight w:val="0"/>
          <w:marTop w:val="0"/>
          <w:marBottom w:val="0"/>
          <w:divBdr>
            <w:top w:val="none" w:sz="0" w:space="0" w:color="auto"/>
            <w:left w:val="none" w:sz="0" w:space="0" w:color="auto"/>
            <w:bottom w:val="none" w:sz="0" w:space="0" w:color="auto"/>
            <w:right w:val="none" w:sz="0" w:space="0" w:color="auto"/>
          </w:divBdr>
        </w:div>
        <w:div w:id="1707440805">
          <w:marLeft w:val="0"/>
          <w:marRight w:val="0"/>
          <w:marTop w:val="0"/>
          <w:marBottom w:val="0"/>
          <w:divBdr>
            <w:top w:val="none" w:sz="0" w:space="0" w:color="auto"/>
            <w:left w:val="none" w:sz="0" w:space="0" w:color="auto"/>
            <w:bottom w:val="none" w:sz="0" w:space="0" w:color="auto"/>
            <w:right w:val="none" w:sz="0" w:space="0" w:color="auto"/>
          </w:divBdr>
        </w:div>
        <w:div w:id="881749235">
          <w:marLeft w:val="0"/>
          <w:marRight w:val="0"/>
          <w:marTop w:val="0"/>
          <w:marBottom w:val="0"/>
          <w:divBdr>
            <w:top w:val="none" w:sz="0" w:space="0" w:color="auto"/>
            <w:left w:val="none" w:sz="0" w:space="0" w:color="auto"/>
            <w:bottom w:val="none" w:sz="0" w:space="0" w:color="auto"/>
            <w:right w:val="none" w:sz="0" w:space="0" w:color="auto"/>
          </w:divBdr>
        </w:div>
        <w:div w:id="1407262426">
          <w:marLeft w:val="0"/>
          <w:marRight w:val="0"/>
          <w:marTop w:val="0"/>
          <w:marBottom w:val="0"/>
          <w:divBdr>
            <w:top w:val="none" w:sz="0" w:space="0" w:color="auto"/>
            <w:left w:val="none" w:sz="0" w:space="0" w:color="auto"/>
            <w:bottom w:val="none" w:sz="0" w:space="0" w:color="auto"/>
            <w:right w:val="none" w:sz="0" w:space="0" w:color="auto"/>
          </w:divBdr>
        </w:div>
        <w:div w:id="464737439">
          <w:marLeft w:val="0"/>
          <w:marRight w:val="0"/>
          <w:marTop w:val="0"/>
          <w:marBottom w:val="0"/>
          <w:divBdr>
            <w:top w:val="none" w:sz="0" w:space="0" w:color="auto"/>
            <w:left w:val="none" w:sz="0" w:space="0" w:color="auto"/>
            <w:bottom w:val="none" w:sz="0" w:space="0" w:color="auto"/>
            <w:right w:val="none" w:sz="0" w:space="0" w:color="auto"/>
          </w:divBdr>
        </w:div>
        <w:div w:id="1922832261">
          <w:marLeft w:val="0"/>
          <w:marRight w:val="0"/>
          <w:marTop w:val="0"/>
          <w:marBottom w:val="0"/>
          <w:divBdr>
            <w:top w:val="none" w:sz="0" w:space="0" w:color="auto"/>
            <w:left w:val="none" w:sz="0" w:space="0" w:color="auto"/>
            <w:bottom w:val="none" w:sz="0" w:space="0" w:color="auto"/>
            <w:right w:val="none" w:sz="0" w:space="0" w:color="auto"/>
          </w:divBdr>
        </w:div>
        <w:div w:id="1683319377">
          <w:marLeft w:val="0"/>
          <w:marRight w:val="0"/>
          <w:marTop w:val="0"/>
          <w:marBottom w:val="0"/>
          <w:divBdr>
            <w:top w:val="none" w:sz="0" w:space="0" w:color="auto"/>
            <w:left w:val="none" w:sz="0" w:space="0" w:color="auto"/>
            <w:bottom w:val="none" w:sz="0" w:space="0" w:color="auto"/>
            <w:right w:val="none" w:sz="0" w:space="0" w:color="auto"/>
          </w:divBdr>
        </w:div>
        <w:div w:id="978730018">
          <w:marLeft w:val="0"/>
          <w:marRight w:val="0"/>
          <w:marTop w:val="0"/>
          <w:marBottom w:val="0"/>
          <w:divBdr>
            <w:top w:val="none" w:sz="0" w:space="0" w:color="auto"/>
            <w:left w:val="none" w:sz="0" w:space="0" w:color="auto"/>
            <w:bottom w:val="none" w:sz="0" w:space="0" w:color="auto"/>
            <w:right w:val="none" w:sz="0" w:space="0" w:color="auto"/>
          </w:divBdr>
        </w:div>
        <w:div w:id="89814815">
          <w:marLeft w:val="0"/>
          <w:marRight w:val="0"/>
          <w:marTop w:val="0"/>
          <w:marBottom w:val="0"/>
          <w:divBdr>
            <w:top w:val="none" w:sz="0" w:space="0" w:color="auto"/>
            <w:left w:val="none" w:sz="0" w:space="0" w:color="auto"/>
            <w:bottom w:val="none" w:sz="0" w:space="0" w:color="auto"/>
            <w:right w:val="none" w:sz="0" w:space="0" w:color="auto"/>
          </w:divBdr>
        </w:div>
        <w:div w:id="98523879">
          <w:marLeft w:val="0"/>
          <w:marRight w:val="0"/>
          <w:marTop w:val="0"/>
          <w:marBottom w:val="0"/>
          <w:divBdr>
            <w:top w:val="none" w:sz="0" w:space="0" w:color="auto"/>
            <w:left w:val="none" w:sz="0" w:space="0" w:color="auto"/>
            <w:bottom w:val="none" w:sz="0" w:space="0" w:color="auto"/>
            <w:right w:val="none" w:sz="0" w:space="0" w:color="auto"/>
          </w:divBdr>
        </w:div>
        <w:div w:id="1682007717">
          <w:marLeft w:val="0"/>
          <w:marRight w:val="0"/>
          <w:marTop w:val="0"/>
          <w:marBottom w:val="0"/>
          <w:divBdr>
            <w:top w:val="none" w:sz="0" w:space="0" w:color="auto"/>
            <w:left w:val="none" w:sz="0" w:space="0" w:color="auto"/>
            <w:bottom w:val="none" w:sz="0" w:space="0" w:color="auto"/>
            <w:right w:val="none" w:sz="0" w:space="0" w:color="auto"/>
          </w:divBdr>
        </w:div>
        <w:div w:id="1574076095">
          <w:marLeft w:val="0"/>
          <w:marRight w:val="0"/>
          <w:marTop w:val="0"/>
          <w:marBottom w:val="0"/>
          <w:divBdr>
            <w:top w:val="none" w:sz="0" w:space="0" w:color="auto"/>
            <w:left w:val="none" w:sz="0" w:space="0" w:color="auto"/>
            <w:bottom w:val="none" w:sz="0" w:space="0" w:color="auto"/>
            <w:right w:val="none" w:sz="0" w:space="0" w:color="auto"/>
          </w:divBdr>
        </w:div>
        <w:div w:id="591403130">
          <w:marLeft w:val="0"/>
          <w:marRight w:val="0"/>
          <w:marTop w:val="0"/>
          <w:marBottom w:val="0"/>
          <w:divBdr>
            <w:top w:val="none" w:sz="0" w:space="0" w:color="auto"/>
            <w:left w:val="none" w:sz="0" w:space="0" w:color="auto"/>
            <w:bottom w:val="none" w:sz="0" w:space="0" w:color="auto"/>
            <w:right w:val="none" w:sz="0" w:space="0" w:color="auto"/>
          </w:divBdr>
        </w:div>
        <w:div w:id="327367542">
          <w:marLeft w:val="0"/>
          <w:marRight w:val="0"/>
          <w:marTop w:val="0"/>
          <w:marBottom w:val="0"/>
          <w:divBdr>
            <w:top w:val="none" w:sz="0" w:space="0" w:color="auto"/>
            <w:left w:val="none" w:sz="0" w:space="0" w:color="auto"/>
            <w:bottom w:val="none" w:sz="0" w:space="0" w:color="auto"/>
            <w:right w:val="none" w:sz="0" w:space="0" w:color="auto"/>
          </w:divBdr>
        </w:div>
        <w:div w:id="1192185848">
          <w:marLeft w:val="0"/>
          <w:marRight w:val="0"/>
          <w:marTop w:val="0"/>
          <w:marBottom w:val="0"/>
          <w:divBdr>
            <w:top w:val="none" w:sz="0" w:space="0" w:color="auto"/>
            <w:left w:val="none" w:sz="0" w:space="0" w:color="auto"/>
            <w:bottom w:val="none" w:sz="0" w:space="0" w:color="auto"/>
            <w:right w:val="none" w:sz="0" w:space="0" w:color="auto"/>
          </w:divBdr>
        </w:div>
        <w:div w:id="173306174">
          <w:marLeft w:val="0"/>
          <w:marRight w:val="0"/>
          <w:marTop w:val="0"/>
          <w:marBottom w:val="0"/>
          <w:divBdr>
            <w:top w:val="none" w:sz="0" w:space="0" w:color="auto"/>
            <w:left w:val="none" w:sz="0" w:space="0" w:color="auto"/>
            <w:bottom w:val="none" w:sz="0" w:space="0" w:color="auto"/>
            <w:right w:val="none" w:sz="0" w:space="0" w:color="auto"/>
          </w:divBdr>
        </w:div>
        <w:div w:id="28648229">
          <w:marLeft w:val="0"/>
          <w:marRight w:val="0"/>
          <w:marTop w:val="0"/>
          <w:marBottom w:val="0"/>
          <w:divBdr>
            <w:top w:val="none" w:sz="0" w:space="0" w:color="auto"/>
            <w:left w:val="none" w:sz="0" w:space="0" w:color="auto"/>
            <w:bottom w:val="none" w:sz="0" w:space="0" w:color="auto"/>
            <w:right w:val="none" w:sz="0" w:space="0" w:color="auto"/>
          </w:divBdr>
        </w:div>
        <w:div w:id="1550342682">
          <w:marLeft w:val="0"/>
          <w:marRight w:val="0"/>
          <w:marTop w:val="0"/>
          <w:marBottom w:val="0"/>
          <w:divBdr>
            <w:top w:val="none" w:sz="0" w:space="0" w:color="auto"/>
            <w:left w:val="none" w:sz="0" w:space="0" w:color="auto"/>
            <w:bottom w:val="none" w:sz="0" w:space="0" w:color="auto"/>
            <w:right w:val="none" w:sz="0" w:space="0" w:color="auto"/>
          </w:divBdr>
        </w:div>
        <w:div w:id="781455160">
          <w:marLeft w:val="0"/>
          <w:marRight w:val="0"/>
          <w:marTop w:val="0"/>
          <w:marBottom w:val="0"/>
          <w:divBdr>
            <w:top w:val="none" w:sz="0" w:space="0" w:color="auto"/>
            <w:left w:val="none" w:sz="0" w:space="0" w:color="auto"/>
            <w:bottom w:val="none" w:sz="0" w:space="0" w:color="auto"/>
            <w:right w:val="none" w:sz="0" w:space="0" w:color="auto"/>
          </w:divBdr>
        </w:div>
        <w:div w:id="1950164081">
          <w:marLeft w:val="0"/>
          <w:marRight w:val="0"/>
          <w:marTop w:val="0"/>
          <w:marBottom w:val="0"/>
          <w:divBdr>
            <w:top w:val="none" w:sz="0" w:space="0" w:color="auto"/>
            <w:left w:val="none" w:sz="0" w:space="0" w:color="auto"/>
            <w:bottom w:val="none" w:sz="0" w:space="0" w:color="auto"/>
            <w:right w:val="none" w:sz="0" w:space="0" w:color="auto"/>
          </w:divBdr>
        </w:div>
        <w:div w:id="349457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1126</Words>
  <Characters>6194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Stephanny Barreto Mantilla</dc:creator>
  <cp:keywords/>
  <dc:description/>
  <cp:lastModifiedBy>Martha Stephanny Barreto Mantilla</cp:lastModifiedBy>
  <cp:revision>1</cp:revision>
  <dcterms:created xsi:type="dcterms:W3CDTF">2020-01-03T22:18:00Z</dcterms:created>
  <dcterms:modified xsi:type="dcterms:W3CDTF">2020-01-03T22:21:00Z</dcterms:modified>
</cp:coreProperties>
</file>